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aps w:val="0"/>
          <w:smallCaps w:val="0"/>
        </w:rPr>
        <w:t>Charts and anchors Á😀</w:t>
      </w:r>
    </w:p>
    <w:p>
      <w:r>
        <w:t>Before the chart.</w:t>
      </w:r>
    </w:p>
    <w:p>
      <w:r>
        <w:drawing>
          <wp:inline distT="0" distB="0" distL="0" distR="0">
            <wp:extent cx="4114800" cy="2011680"/>
            <wp:effectExtent l="0" t="0" r="0" b="0"/>
            <wp:docPr id="7" name="Quarterly results" descr="Cached column chart"/>
            <wp:cNvGraphicFramePr/>
            <ns0:graphic xmlns:ns0="http://schemas.openxmlformats.org/drawingml/2006/main">
              <ns0:graphicData uri="http://schemas.openxmlformats.org/drawingml/2006/chart">
                <ns1:chart xmlns:ns1="http://schemas.openxmlformats.org/drawingml/2006/chart" r:id="rId9"/>
              </ns0:graphicData>
            </ns0:graphic>
          </wp:inline>
        </w:drawing>
      </w:r>
    </w:p>
    <w:p>
      <w:r>
        <w:t>After the chart.</w:t>
      </w:r>
    </w:p>
    <w:p>
      <w:pPr>
        <w:pStyle w:val="ListBullet"/>
      </w:pPr>
      <w:r>
        <w:t>An ordinary list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</w:tblGrid>
      <w:tr>
        <w:tc>
          <w:tcPr>
            <w:tcW w:type="dxa" w:w="3600"/>
          </w:tcPr>
          <w:p>
            <w:r>
              <w:t>Cell 1.1</w:t>
            </w:r>
          </w:p>
        </w:tc>
        <w:tc>
          <w:tcPr>
            <w:tcW w:type="dxa" w:w="3600"/>
          </w:tcPr>
          <w:p>
            <w:r>
              <w:t>Cell 1.2</w:t>
            </w:r>
          </w:p>
        </w:tc>
      </w:tr>
      <w:tr>
        <w:tc>
          <w:tcPr>
            <w:tcW w:type="dxa" w:w="3600"/>
          </w:tcPr>
          <w:p>
            <w:r>
              <w:t>Cell 2.1</w:t>
            </w:r>
          </w:p>
        </w:tc>
        <w:tc>
          <w:tcPr>
            <w:tcW w:type="dxa" w:w="3600"/>
          </w:tcPr>
          <w:p>
            <w:r>
              <w:t>Cell 2.2</w:t>
            </w:r>
          </w:p>
        </w:tc>
      </w:tr>
    </w:tbl>
    <w:p>
      <w:r>
        <w:t>Before the floating picture.</w:t>
      </w:r>
    </w:p>
    <w:p>
      <w:r>
        <w:drawing>
          <wp:anchor xmlns:a="http://schemas.openxmlformats.org/drawingml/2006/main" xmlns:pic="http://schemas.openxmlformats.org/drawingml/2006/picture" simplePos="0" relativeHeight="1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572000" cy="1143000"/>
            <wp:wrapSquare wrapText="largest"/>
            <wp:docPr id="8" name="Picture 8" descr="Floating test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>
                      <a:picLocks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r>
        <w:t>After the floating picture.</w:t>
      </w:r>
    </w:p>
    <w:sectPr w:rsidR="00FC693F" w:rsidRPr="0006063C" w:rsidSect="00034616">
      <w:pgSz w:w="86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8</c:v>
                </c:pt>
                <c:pt idx="1">
                  <c:v>4</c:v>
                </c:pt>
                <c:pt idx="0">
                  <c:v>6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7</c:v>
                </c:pt>
                <c:pt idx="2">
                  <c:v>5</c:v>
                </c:pt>
                <c:pt idx="1">
                  <c:v>-2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6</c:v>
                </c:pt>
                <c:pt idx="2">
                  <c:v>4</c:v>
                </c:pt>
                <c:pt idx="1">
                  <c:v>3</c:v>
                </c:pt>
                <c:pt idx="0">
                  <c:v>2</c:v>
                </c:pt>
              </c:numCache>
            </c:numRef>
          </c:val>
        </c:ser>
        <c:gapWidth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