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all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none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omitted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zero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attributes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60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cnf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cnfStyle w:val="111111111111"/>
          <w:trHeight w:val="600"/>
        </w:trPr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R0C0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R0C1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R0C2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R0C3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R0C4</w:t>
            </w:r>
          </w:p>
        </w:tc>
      </w:tr>
      <w:tr>
        <w:trPr>
          <w:cnfStyle w:val="111111111111"/>
          <w:trHeight w:val="600"/>
        </w:trPr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R1C0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R1C1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R1C2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R1C3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R1C4</w:t>
            </w:r>
          </w:p>
        </w:tc>
      </w:tr>
      <w:tr>
        <w:trPr>
          <w:cnfStyle w:val="111111111111"/>
          <w:trHeight w:val="600"/>
        </w:trPr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R2C0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R2C1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R2C2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R2C3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R2C4</w:t>
            </w:r>
          </w:p>
        </w:tc>
      </w:tr>
      <w:tr>
        <w:trPr>
          <w:cnfStyle w:val="111111111111"/>
          <w:trHeight w:val="600"/>
        </w:trPr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R3C0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R3C1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R3C2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R3C3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R3C4</w:t>
            </w:r>
          </w:p>
        </w:tc>
      </w:tr>
      <w:tr>
        <w:trPr>
          <w:cnfStyle w:val="111111111111"/>
          <w:trHeight w:val="600"/>
        </w:trPr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R4C0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R4C1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R4C2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R4C3</w:t>
            </w:r>
          </w:p>
        </w:tc>
        <w:tc>
          <w:tcPr>
            <w:cnfStyle w:val="111111111111"/>
            <w:tcW w:w="1872" w:type="dxa"/>
          </w:tcPr>
          <w:p>
            <w:pPr>
              <w:cnfStyle w:val="111111111111"/>
            </w:pPr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band1</w:t>
      </w:r>
    </w:p>
    <w:tbl>
      <w:tblPr>
        <w:tblStyle w:val="Regions"/>
        <w:tblStyleRowBandSize w:val="1"/>
        <w:tblStyleColBandSize w:val="1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band2</w:t>
      </w:r>
    </w:p>
    <w:tbl>
      <w:tblPr>
        <w:tblStyle w:val="Regions"/>
        <w:tblStyleRowBandSize w:val="2"/>
        <w:tblStyleColBandSize w:val="2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horizontal</w:t>
      </w:r>
    </w:p>
    <w:tbl>
      <w:tblPr>
        <w:tblStyle w:val="Regions"/>
        <w:tblStyleRowBandSize w:val="1"/>
        <w:tblStyleColBandSize w:val="1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5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bands-only</w:t>
      </w:r>
    </w:p>
    <w:tbl>
      <w:tblPr>
        <w:tblStyle w:val="Bands"/>
        <w:tblStyleRowBandSize w:val="1"/>
        <w:tblStyleColBandSize w:val="1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headers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  <w:tblHeader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  <w:tblHeader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first-row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62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merged</w:t>
      </w:r>
    </w:p>
    <w:tbl>
      <w:tblPr>
        <w:tblStyle w:val="Regions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3744" w:type="dxa"/>
            <w:gridSpan w:val="2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derived</w:t>
      </w:r>
    </w:p>
    <w:tbl>
      <w:tblPr>
        <w:tblStyle w:val="Derived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p>
      <w:pPr>
        <w:pageBreakBefore/>
      </w:pPr>
      <w:r>
        <w:t>whole</w:t>
      </w:r>
    </w:p>
    <w:tbl>
      <w:tblPr>
        <w:tblStyle w:val="Whole"/>
        <w:tblW w:w="93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1E0"/>
      </w:tblPr>
      <w:tblGrid>
        <w:gridCol w:w="1872"/>
        <w:gridCol w:w="1872"/>
        <w:gridCol w:w="1872"/>
        <w:gridCol w:w="1872"/>
        <w:gridCol w:w="1872"/>
      </w:tblGrid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R0C0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R0C4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R1C0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R1C4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R2C0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R2C4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R3C0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R3C4</w:t>
            </w:r>
          </w:p>
        </w:tc>
      </w:tr>
      <w:tr>
        <w:trPr>
          <w:trHeight w:val="600"/>
        </w:trPr>
        <w:tc>
          <w:tcPr>
            <w:tcW w:w="1872" w:type="dxa"/>
          </w:tcPr>
          <w:p>
            <w:pPr/>
            <w:r>
              <w:rPr>
                <w:highlight w:val="white"/>
              </w:rPr>
              <w:t>R4C0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R4C1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R4C2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R4C3</w:t>
            </w:r>
          </w:p>
        </w:tc>
        <w:tc>
          <w:tcPr>
            <w:tcW w:w="1872" w:type="dxa"/>
          </w:tcPr>
          <w:p>
            <w:pPr/>
            <w:r>
              <w:rPr>
                <w:highlight w:val="white"/>
              </w:rPr>
              <w:t>R4C4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Regions">
    <w:name w:val="Regions"/>
    <w:rPr>
      <w:color w:val="222222"/>
    </w:rPr>
    <w:tcPr>
      <w:shd w:val="clear" w:fill="EEEEEE"/>
    </w:tcPr>
    <w:tblStylePr w:type="band1Horz">
      <w:rPr>
        <w:color w:val="880000"/>
      </w:rPr>
      <w:tcPr>
        <w:shd w:val="clear" w:fill="880000"/>
      </w:tcPr>
    </w:tblStylePr>
    <w:tblStylePr w:type="band2Horz">
      <w:rPr>
        <w:color w:val="008800"/>
      </w:rPr>
      <w:tcPr>
        <w:shd w:val="clear" w:fill="008800"/>
      </w:tcPr>
    </w:tblStylePr>
    <w:tblStylePr w:type="band1Vert">
      <w:rPr>
        <w:color w:val="000088"/>
      </w:rPr>
      <w:tcPr>
        <w:shd w:val="clear" w:fill="000088"/>
      </w:tcPr>
    </w:tblStylePr>
    <w:tblStylePr w:type="band2Vert">
      <w:rPr>
        <w:color w:val="888800"/>
      </w:rPr>
      <w:tcPr>
        <w:shd w:val="clear" w:fill="888800"/>
      </w:tcPr>
    </w:tblStylePr>
    <w:tblStylePr w:type="firstCol">
      <w:rPr>
        <w:color w:val="880088"/>
      </w:rPr>
      <w:tcPr>
        <w:shd w:val="clear" w:fill="880088"/>
      </w:tcPr>
    </w:tblStylePr>
    <w:tblStylePr w:type="lastCol">
      <w:rPr>
        <w:color w:val="008888"/>
      </w:rPr>
      <w:tcPr>
        <w:shd w:val="clear" w:fill="008888"/>
      </w:tcPr>
    </w:tblStylePr>
    <w:tblStylePr w:type="firstRow">
      <w:rPr>
        <w:color w:val="CC4400"/>
      </w:rPr>
      <w:tcPr>
        <w:shd w:val="clear" w:fill="CC4400"/>
      </w:tcPr>
    </w:tblStylePr>
    <w:tblStylePr w:type="lastRow">
      <w:rPr>
        <w:color w:val="4400CC"/>
      </w:rPr>
      <w:tcPr>
        <w:shd w:val="clear" w:fill="4400CC"/>
      </w:tcPr>
    </w:tblStylePr>
    <w:tblStylePr w:type="nwCell">
      <w:rPr>
        <w:color w:val="CC0044"/>
      </w:rPr>
      <w:tcPr>
        <w:shd w:val="clear" w:fill="CC0044"/>
      </w:tcPr>
    </w:tblStylePr>
    <w:tblStylePr w:type="neCell">
      <w:rPr>
        <w:color w:val="44CC00"/>
      </w:rPr>
      <w:tcPr>
        <w:shd w:val="clear" w:fill="44CC00"/>
      </w:tcPr>
    </w:tblStylePr>
    <w:tblStylePr w:type="swCell">
      <w:rPr>
        <w:color w:val="0044CC"/>
      </w:rPr>
      <w:tcPr>
        <w:shd w:val="clear" w:fill="0044CC"/>
      </w:tcPr>
    </w:tblStylePr>
    <w:tblStylePr w:type="seCell">
      <w:rPr>
        <w:color w:val="CC00CC"/>
      </w:rPr>
      <w:tcPr>
        <w:shd w:val="clear" w:fill="CC00CC"/>
      </w:tcPr>
    </w:tblStylePr>
  </w:style>
  <w:style w:type="table" w:styleId="Derived">
    <w:name w:val="Derived"/>
    <w:basedOn w:val="Regions"/>
    <w:rPr>
      <w:color w:val="777777"/>
    </w:rPr>
    <w:tcPr>
      <w:shd w:val="clear" w:fill="DDDDDD"/>
    </w:tcPr>
    <w:tblStylePr w:type="firstRow">
      <w:rPr>
        <w:b/>
      </w:rPr>
    </w:tblStylePr>
  </w:style>
  <w:style w:type="table" w:styleId="Whole">
    <w:name w:val="Whole"/>
    <w:rPr>
      <w:color w:val="222222"/>
    </w:rPr>
    <w:tcPr>
      <w:shd w:val="clear" w:fill="EEEEEE"/>
    </w:tcPr>
    <w:tblStylePr w:type="wholeTable">
      <w:rPr>
        <w:color w:val="FF0000"/>
      </w:rPr>
      <w:tcPr>
        <w:shd w:val="clear" w:fill="FF0000"/>
      </w:tcPr>
    </w:tblStylePr>
  </w:style>
  <w:style w:type="table" w:styleId="Bands">
    <w:name w:val="Bands"/>
    <w:rPr>
      <w:color w:val="222222"/>
    </w:rPr>
    <w:tcPr>
      <w:shd w:val="clear" w:fill="EEEEEE"/>
    </w:tcPr>
    <w:tblStylePr w:type="band1Horz">
      <w:rPr>
        <w:color w:val="880000"/>
      </w:rPr>
      <w:tcPr>
        <w:shd w:val="clear" w:fill="880000"/>
      </w:tcPr>
    </w:tblStylePr>
    <w:tblStylePr w:type="band2Horz">
      <w:rPr>
        <w:color w:val="008800"/>
      </w:rPr>
      <w:tcPr>
        <w:shd w:val="clear" w:fill="008800"/>
      </w:tcPr>
    </w:tblStylePr>
    <w:tblStylePr w:type="band1Vert">
      <w:rPr>
        <w:color w:val="000088"/>
      </w:rPr>
      <w:tcPr>
        <w:shd w:val="clear" w:fill="000088"/>
      </w:tcPr>
    </w:tblStylePr>
    <w:tblStylePr w:type="band2Vert">
      <w:rPr>
        <w:color w:val="888800"/>
      </w:rPr>
      <w:tcPr>
        <w:shd w:val="clear" w:fill="88880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