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Pr>
          <w:sz w:val="24"/>
        </w:rPr>
      </w:pPr>
      <w:r>
        <w:rPr>
          <w:sz w:val="24"/>
        </w:rPr>
        <w:t xml:space="preserve">End-of-cell marker height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c>
          <w:tcPr>
            <w:tcW w:w="2880" w:type="dxa"/>
            <w:hideMark w:val="off"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Marker included</w:t>
            </w:r>
          </w:p>
        </w:tc>
        <w:tc>
          <w:tcPr>
            <w:tcW w:w="2880" w:type="dxa"/>
            <w:hideMark w:val="off"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/>
            </w:r>
          </w:p>
        </w:tc>
      </w:tr>
      <w:tr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Marker excluded</w:t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/>
            </w:r>
          </w:p>
        </w:tc>
      </w:tr>
      <w:tr>
        <w:trPr>
          <w:trHeight w:val="60" w:hRule="atLeast"/>
        </w:trPr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/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/>
            </w:r>
          </w:p>
        </w:tc>
      </w:tr>
      <w:tr>
        <w:tc>
          <w:tcPr>
            <w:tcW w:w="2880" w:type="dxa"/>
            <w:hideMark/>
          </w:tcPr>
          <w:p>
            <w:pPr>
              <w:rPr>
                <w:sz w:val="36"/>
              </w:rPr>
            </w:pPr>
            <w:r>
              <w:rPr>
                <w:sz w:val="12"/>
              </w:rPr>
              <w:t xml:space="preserve"/>
            </w:r>
          </w:p>
          <w:p>
            <w:pPr>
              <w:rPr>
                <w:sz w:val="72"/>
              </w:rPr>
            </w:pPr>
            <w:r>
              <w:rPr>
                <w:sz w:val="12"/>
              </w:rPr>
              <w:t xml:space="preserve">Earlier paragraph remains</w:t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Other cell</w:t>
            </w:r>
          </w:p>
        </w:tc>
      </w:tr>
      <w:tr>
        <w:trPr>
          <w:trHeight w:val="240" w:hRule="exact"/>
        </w:trPr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36"/>
              </w:rPr>
              <w:t xml:space="preserve">Exact row</w:t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/>
            </w:r>
          </w:p>
        </w:tc>
      </w:tr>
      <w:tr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Manual break</w:t>
            </w:r>
            <w:r>
              <w:rPr>
                <w:sz w:val="12"/>
              </w:rPr>
              <w:br/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Peer</w:t>
            </w:r>
          </w:p>
        </w:tc>
      </w:tr>
      <w:tr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drawing>
                <wp:inline>
                  <wp:extent cx="152400" cy="152400"/>
                  <wp:docPr id="1" name="Original square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Original square"/>
                          <pic:cNvPicPr/>
                        </pic:nvPicPr>
                        <pic:blipFill>
                          <a:blip r:embed="squa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Inline picture stays</w:t>
            </w:r>
          </w:p>
        </w:tc>
      </w:tr>
      <w:tr>
        <w:tc>
          <w:tcPr>
            <w:tcW w:w="2880" w:type="dxa"/>
            <w:hideMark/>
          </w:tcPr>
          <w:p>
            <w:pPr>
              <w:numPr>
                <w:ilvl w:val="0"/>
                <w:numId w:val="1"/>
              </w:numPr>
              <w:rPr>
                <w:sz w:val="72"/>
              </w:rPr>
            </w:pPr>
            <w:r>
              <w:rPr>
                <w:sz w:val="12"/>
              </w:rPr>
              <w:t xml:space="preserve">Numbered</w:t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Peer</w:t>
            </w:r>
          </w:p>
        </w:tc>
      </w:tr>
      <w:tr>
        <w:trPr>
          <w:trHeight w:val="120" w:hRule="atLeast"/>
        </w:trPr>
        <w:tc>
          <w:tcPr>
            <w:tcW w:w="2880" w:type="dxa"/>
            <w:vMerge w:val="restart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Merged owner</w:t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Upper</w:t>
            </w:r>
          </w:p>
        </w:tc>
      </w:tr>
      <w:tr>
        <w:trPr>
          <w:trHeight w:val="120" w:hRule="atLeast"/>
        </w:trPr>
        <w:tc>
          <w:tcPr>
            <w:tcW w:w="2880" w:type="dxa"/>
            <w:vMerge w:val="continue"/>
            <w:hideMark w:val="off"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/>
            </w:r>
          </w:p>
        </w:tc>
        <w:tc>
          <w:tcPr>
            <w:tcW w:w="2880" w:type="dxa"/>
            <w:hideMark/>
          </w:tcPr>
          <w:p>
            <w:pPr>
              <w:rPr>
                <w:sz w:val="72"/>
              </w:rPr>
            </w:pPr>
            <w:r>
              <w:rPr>
                <w:sz w:val="12"/>
              </w:rPr>
              <w:t xml:space="preserve">Lower</w:t>
            </w:r>
          </w:p>
        </w:tc>
      </w:tr>
    </w:tbl>
    <w:p>
      <w:pPr>
        <w:rPr>
          <w:sz w:val="24"/>
        </w:rPr>
      </w:pPr>
      <w:r>
        <w:rPr>
          <w:sz w:val="24"/>
        </w:rPr>
        <w:t xml:space="preserve"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</w:r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square" Type="http://schemas.openxmlformats.org/officeDocument/2006/relationships/image" Target="media/square.png"/><Relationship Id="numbers" Type="http://schemas.openxmlformats.org/officeDocument/2006/relationships/numbering" Target="numbering.xml"/></Relationships>
</file>