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CASE ascii</w:t>
      </w:r>
    </w:p>
    <w:p>
      <w:pPr>
        <w:spacing w:line="360" w:lineRule="exact"/>
        <w:ind w:right="7880"/>
      </w:pPr>
      <w:r>
        <w:t xml:space="preserve">We favor forward-thinking plans.</w:t>
      </w:r>
    </w:p>
    <w:p>
      <w:pPr>
        <w:pageBreakBefore/>
      </w:pPr>
      <w:r>
        <w:t>CASE unicode</w:t>
      </w:r>
    </w:p>
    <w:p>
      <w:pPr>
        <w:spacing w:line="360" w:lineRule="exact"/>
        <w:ind w:right="7880"/>
      </w:pPr>
      <w:r>
        <w:t xml:space="preserve">We favor forward‐thinking plans.</w:t>
      </w:r>
    </w:p>
    <w:p>
      <w:pPr>
        <w:pageBreakBefore/>
      </w:pPr>
      <w:r>
        <w:t>CASE nonbreaking</w:t>
      </w:r>
    </w:p>
    <w:p>
      <w:pPr>
        <w:spacing w:line="360" w:lineRule="exact"/>
        <w:ind w:right="7880"/>
      </w:pPr>
      <w:r>
        <w:t xml:space="preserve">We favor forward‑thinking plans.</w:t>
      </w:r>
    </w:p>
    <w:p>
      <w:pPr>
        <w:pageBreakBefore/>
      </w:pPr>
      <w:r>
        <w:t>CASE leading</w:t>
      </w:r>
    </w:p>
    <w:p>
      <w:pPr>
        <w:spacing w:line="360" w:lineRule="exact"/>
        <w:ind w:right="8480"/>
      </w:pPr>
      <w:r>
        <w:t xml:space="preserve">We favor -thinking plans.</w:t>
      </w:r>
    </w:p>
    <w:p>
      <w:pPr>
        <w:pageBreakBefore/>
      </w:pPr>
      <w:r>
        <w:t>CASE numeric</w:t>
      </w:r>
    </w:p>
    <w:p>
      <w:pPr>
        <w:spacing w:line="360" w:lineRule="exact"/>
        <w:ind w:right="8480"/>
      </w:pPr>
      <w:r>
        <w:t xml:space="preserve">Alpha 123-456789 delta</w:t>
      </w:r>
    </w:p>
    <w:p>
      <w:pPr>
        <w:pageBreakBefore/>
      </w:pPr>
      <w:r>
        <w:t>CASE short</w:t>
      </w:r>
    </w:p>
    <w:p>
      <w:pPr>
        <w:spacing w:line="360" w:lineRule="exact"/>
        <w:ind w:right="8680"/>
      </w:pPr>
      <w:r>
        <w:t xml:space="preserve">One two A-B finish</w:t>
      </w:r>
    </w:p>
    <w:p>
      <w:pPr>
        <w:pageBreakBefore/>
      </w:pPr>
      <w:r>
        <w:t>CASE double</w:t>
      </w:r>
    </w:p>
    <w:p>
      <w:pPr>
        <w:spacing w:line="360" w:lineRule="exact"/>
        <w:ind w:right="8780"/>
      </w:pPr>
      <w:r>
        <w:t xml:space="preserve">One two --tail finish</w:t>
      </w:r>
    </w:p>
    <w:p>
      <w:pPr>
        <w:pageBreakBefore/>
      </w:pPr>
      <w:r>
        <w:t>CASE negative</w:t>
      </w:r>
    </w:p>
    <w:p>
      <w:pPr>
        <w:spacing w:line="360" w:lineRule="exact"/>
        <w:ind w:right="8780"/>
      </w:pPr>
      <w:r>
        <w:t xml:space="preserve">One two -123456 end</w:t>
      </w:r>
    </w:p>
    <w:p>
      <w:pPr>
        <w:pageBreakBefore/>
      </w:pPr>
      <w:r>
        <w:t>CASE minus</w:t>
      </w:r>
    </w:p>
    <w:p>
      <w:pPr>
        <w:spacing w:line="360" w:lineRule="exact"/>
        <w:ind w:right="8680"/>
      </w:pPr>
      <w:r>
        <w:t xml:space="preserve">One two a−b finish</w:t>
      </w:r>
    </w:p>
    <w:p>
      <w:pPr>
        <w:pageBreakBefore/>
      </w:pPr>
      <w:r>
        <w:t>CASE split-run</w:t>
      </w:r>
    </w:p>
    <w:p>
      <w:pPr>
        <w:spacing w:line="360" w:lineRule="exact"/>
        <w:ind w:right="7880"/>
      </w:pPr>
      <w:r>
        <w:t xml:space="preserve">We favor forward</w:t>
      </w:r>
      <w:r>
        <w:t xml:space="preserve">-</w:t>
      </w:r>
      <w:r>
        <w:t xml:space="preserve">thinking plans.</w:t>
      </w:r>
    </w:p>
    <w:sectPr>
      <w:pgSz w:w="12240" w:h="15840"/>
      <w:pgMar w:top="1080" w:right="1080" w:bottom="1080" w:left="1080" w:header="0" w:footer="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/>
    </w:pPr>
    <w:rPr>
      <w:rFonts w:ascii="Arial" w:hAnsi="Arial"/>
      <w:sz w:val="24"/>
    </w:rPr>
  </w:style>
  <w:style w:type="table" w:styleId="TablePaint">
    <w:name w:val="Table paint"/>
    <w:tblPr>
      <w:shd w:val="clear" w:fill="FFAA44"/>
    </w:tblPr>
  </w:style>
  <w:style w:type="table" w:styleId="CellPaint">
    <w:name w:val="Cell paint"/>
    <w:tblPr>
      <w:shd w:val="clear" w:fill="FFAA44"/>
    </w:tblPr>
    <w:tcPr>
      <w:shd w:val="clear" w:fill="88CC99"/>
    </w:tcPr>
  </w:style>
  <w:style w:type="table" w:styleId="RegionTable">
    <w:name w:val="Regional table paint"/>
    <w:tblStylePr w:type="firstRow">
      <w:tblPr>
        <w:shd w:val="clear" w:fill="FFAA44"/>
      </w:tblPr>
    </w:tblStylePr>
  </w:style>
  <w:style w:type="table" w:styleId="RegionCell">
    <w:name w:val="Regional cell paint"/>
    <w:tblStylePr w:type="firstRow">
      <w:tcPr>
        <w:shd w:val="clear" w:fill="88CC99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