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Franklin Gothic Demi" w:hAnsi="Franklin Gothic Demi"/>
          <w:sz w:val="32"/>
        </w:rPr>
        <w:t>LOCAL FACE HEADING</w:t>
      </w:r>
    </w:p>
    <w:p>
      <w:r>
        <w:rPr>
          <w:rFonts w:ascii="Franklin Gothic Demi" w:hAnsi="Franklin Gothic Demi"/>
          <w:b/>
          <w:sz w:val="32"/>
        </w:rPr>
        <w:t>BOLD LOCAL FACE</w:t>
      </w:r>
    </w:p>
    <w:p>
      <w:r>
        <w:rPr>
          <w:rFonts w:ascii="Franklin Gothic Book" w:hAnsi="Franklin Gothic Book"/>
          <w:sz w:val="22"/>
        </w:rPr>
        <w:t>Regular family comparison.</w:t>
      </w:r>
    </w:p>
    <w:p>
      <w:r>
        <w:rPr>
          <w:rFonts w:ascii="Arial" w:hAnsi="Arial"/>
          <w:sz w:val="22"/>
        </w:rPr>
        <w:t>Arial control paragraph.</w:t>
      </w:r>
    </w:p>
    <w:sectPr>
      <w:pgSz w:w="12240" w:h="15840"/>
      <w:pgMar w:top="1440" w:right="1440" w:bottom="1440" w:left="1440" w:header="720" w:footer="720" w:gutter="0"/>
    </w:sectPr>
  </w:body>
</w:document>
</file>