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minimum-header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1000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header</w:t>
            </w:r>
          </w:p>
        </w:tc>
      </w:tr>
      <w:tr>
        <w:trPr>
          <w:trHeight w:val="18000" w:hRule="atLeast"/>
        </w:trPr>
        <w:tc>
          <w:tcPr>
            <w:tcW w:w="4320" w:type="dxa"/>
          </w:tcPr>
          <w:p>
            <w:pPr>
              <w:spacing w:before="0" w:after="0" w:line="6000" w:lineRule="exact"/>
            </w:pPr>
            <w:r>
              <w:rPr>
                <w:rFonts w:ascii="Noto Sans" w:hAnsi="Noto Sans"/>
                <w:sz w:val="20"/>
              </w:rPr>
              <w:t>minimum-header line 000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minimum-header 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?><Relationships xmlns="http://schemas.openxmlformats.org/package/2006/relationships"><Relationship Id="settings" Type="http://schemas.openxmlformats.org/officeDocument/2006/relationships/settings" Target="settings.xml"/></Relationships>
</file>