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min-none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min-none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min-top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0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min-top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min-bottom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min-bottom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min-both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min-both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min-no-border</w:t>
      </w:r>
    </w:p>
    <w:tbl>
      <w:tblPr>
        <w:tblW w:w="4320" w:type="dxa"/>
        <w:tblBorders>
          <w:top w:val="nil" w:sz="0" w:color="000000"/>
          <w:left w:val="nil" w:sz="0" w:color="000000"/>
          <w:bottom w:val="nil" w:sz="0" w:color="000000"/>
          <w:right w:val="nil" w:sz="0" w:color="000000"/>
          <w:insideH w:val="nil" w:sz="0" w:color="000000"/>
          <w:insideV w:val="nil" w:sz="0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min-no-border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exact-both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exact-both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exact-no-border</w:t>
      </w:r>
    </w:p>
    <w:tbl>
      <w:tblPr>
        <w:tblW w:w="4320" w:type="dxa"/>
        <w:tblBorders>
          <w:top w:val="nil" w:sz="0" w:color="000000"/>
          <w:left w:val="nil" w:sz="0" w:color="000000"/>
          <w:bottom w:val="nil" w:sz="0" w:color="000000"/>
          <w:right w:val="nil" w:sz="0" w:color="000000"/>
          <w:insideH w:val="nil" w:sz="0" w:color="000000"/>
          <w:insideV w:val="nil" w:sz="0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exact-no-border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auto-both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auto-both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auto-no-border</w:t>
      </w:r>
    </w:p>
    <w:tbl>
      <w:tblPr>
        <w:tblW w:w="4320" w:type="dxa"/>
        <w:tblBorders>
          <w:top w:val="nil" w:sz="0" w:color="000000"/>
          <w:left w:val="nil" w:sz="0" w:color="000000"/>
          <w:bottom w:val="nil" w:sz="0" w:color="000000"/>
          <w:right w:val="nil" w:sz="0" w:color="000000"/>
          <w:insideH w:val="nil" w:sz="0" w:color="000000"/>
          <w:insideV w:val="nil" w:sz="0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320"/>
      </w:tblGrid>
      <w:tr>
        <w:trPr>
          <w:trHeight w:val="144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auto-no-border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min-asymmetric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tcMar>
              <w:top w:w="144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  <w:tc>
          <w:tcPr>
            <w:tcW w:w="2160" w:type="dxa"/>
            <w:tcMar>
              <w:top w:w="0" w:type="dxa"/>
              <w:bottom w:w="288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cell 0</w:t>
            </w:r>
          </w:p>
        </w:tc>
      </w:tr>
      <w:tr>
        <w:tc>
          <w:tcPr>
            <w:tcW w:w="2160" w:type="dxa"/>
            <w:tcMar>
              <w:top w:w="144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  <w:tc>
          <w:tcPr>
            <w:tcW w:w="2160" w:type="dxa"/>
            <w:tcMar>
              <w:top w:w="0" w:type="dxa"/>
              <w:bottom w:w="288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cell 1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min-asymmetric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auto-asymmetric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440" w:hRule="auto"/>
        </w:trPr>
        <w:tc>
          <w:tcPr>
            <w:tcW w:w="2160" w:type="dxa"/>
            <w:tcMar>
              <w:top w:w="144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  <w:tc>
          <w:tcPr>
            <w:tcW w:w="2160" w:type="dxa"/>
            <w:tcMar>
              <w:top w:w="0" w:type="dxa"/>
              <w:bottom w:w="288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cell 0</w:t>
            </w:r>
          </w:p>
        </w:tc>
      </w:tr>
      <w:tr>
        <w:tc>
          <w:tcPr>
            <w:tcW w:w="2160" w:type="dxa"/>
            <w:tcMar>
              <w:top w:w="144" w:type="dxa"/>
              <w:bottom w:w="0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  <w:tc>
          <w:tcPr>
            <w:tcW w:w="2160" w:type="dxa"/>
            <w:tcMar>
              <w:top w:w="0" w:type="dxa"/>
              <w:bottom w:w="288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cell 1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auto-asymmetric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min-cellsum</w:t>
      </w:r>
    </w:p>
    <w:tbl>
      <w:tblPr>
        <w:tblW w:w="432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440" w:hRule="atLeast"/>
        </w:trPr>
        <w:tc>
          <w:tcPr>
            <w:tcW w:w="2160" w:type="dxa"/>
            <w:tcMar>
              <w:top w:w="144" w:type="dxa"/>
              <w:bottom w:w="144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first</w:t>
            </w:r>
          </w:p>
        </w:tc>
        <w:tc>
          <w:tcPr>
            <w:tcW w:w="2160" w:type="dxa"/>
            <w:tcMar>
              <w:top w:w="0" w:type="dxa"/>
              <w:bottom w:w="288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cell 0</w:t>
            </w:r>
          </w:p>
        </w:tc>
      </w:tr>
      <w:tr>
        <w:tc>
          <w:tcPr>
            <w:tcW w:w="2160" w:type="dxa"/>
            <w:tcMar>
              <w:top w:w="144" w:type="dxa"/>
              <w:bottom w:w="144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Probe second</w:t>
            </w:r>
          </w:p>
        </w:tc>
        <w:tc>
          <w:tcPr>
            <w:tcW w:w="2160" w:type="dxa"/>
            <w:tcMar>
              <w:top w:w="0" w:type="dxa"/>
              <w:bottom w:w="288" w:type="dxa"/>
            </w:tcMar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Other cell 1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min-cellsum after</w:t>
      </w:r>
    </w:p>
    <w:sectPr>
      <w:pgSz w:w="12240" w:h="15840"/>
      <w:pgMar w:top="1440" w:right="1440" w:bottom="1440" w:left="1440" w:header="720" w:footer="720" w:gutter="0"/>
    </w:sectPr>
  </w:body>
</w:document>
</file>