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University Administrative Copilot</w:t>
      </w:r>
    </w:p>
    <w:p>
      <w:pPr>
        <w:pStyle w:val="Normal"/>
        <w:jc w:val="center"/>
        <w:rPr/>
      </w:pPr>
      <w:r>
        <w:rPr>
          <w:b w:val="false"/>
          <w:sz w:val="30"/>
        </w:rPr>
        <w:t>Week 8: Finalization</w:t>
      </w:r>
    </w:p>
    <w:p>
      <w:pPr>
        <w:pStyle w:val="Normal"/>
        <w:jc w:val="center"/>
        <w:rPr/>
      </w:pPr>
      <w:r>
        <w:rPr>
          <w:b w:val="false"/>
          <w:sz w:val="22"/>
        </w:rPr>
        <w:t>Final web application, testing, report, documentation, presentation and demonstration</w:t>
      </w:r>
    </w:p>
    <w:p>
      <w:pPr>
        <w:pStyle w:val="Normal"/>
        <w:jc w:val="center"/>
        <w:rPr/>
      </w:pPr>
      <w:r>
        <w:rPr>
          <w:b w:val="false"/>
          <w:sz w:val="22"/>
        </w:rPr>
        <w:t>Group 10  |  Roll No. J054, J055, J056, J057, J059</w:t>
      </w:r>
    </w:p>
    <w:p>
      <w:pPr>
        <w:pStyle w:val="Normal"/>
        <w:jc w:val="center"/>
        <w:rPr/>
      </w:pPr>
      <w:r>
        <w:rPr>
          <w:b w:val="false"/>
          <w:sz w:val="20"/>
        </w:rPr>
        <w:t>Repository: github.com/jashan7305/university_administrative_copilot</w:t>
      </w:r>
    </w:p>
    <w:p>
      <w:pPr>
        <w:pStyle w:val="Normal"/>
        <w:jc w:val="center"/>
        <w:rPr/>
      </w:pPr>
      <w:r>
        <w:rPr>
          <w:b w:val="false"/>
          <w:sz w:val="20"/>
        </w:rPr>
        <w:t>Code: submitted as Group10_Week8_code.zip (and in the repository)</w:t>
      </w:r>
    </w:p>
    <w:p>
      <w:pPr>
        <w:pStyle w:val="Normal"/>
        <w:rPr/>
      </w:pPr>
      <w:r>
        <w:rPr/>
      </w:r>
      <w:r>
        <w:br w:type="page"/>
      </w:r>
    </w:p>
    <w:p>
      <w:pPr>
        <w:pStyle w:val="Heading1"/>
        <w:spacing w:before="0" w:after="0"/>
        <w:rPr/>
      </w:pPr>
      <w:r>
        <w:rPr/>
        <w:t>Summary</w:t>
      </w:r>
    </w:p>
    <w:p>
      <w:pPr>
        <w:pStyle w:val="Normal"/>
        <w:spacing w:before="0" w:after="100"/>
        <w:rPr/>
      </w:pPr>
      <w:r>
        <w:rPr/>
        <w:t>This final submission completes Week 8 for Group 10. The University Administrative Copilot is now presented as a usable web application for the main problem statement: students and faculty can ask administrative questions in natural language, receive the identified intent and department, see extracted information and official evidence, and obtain a structured service request with required documents and next action.</w:t>
      </w:r>
    </w:p>
    <w:p>
      <w:pPr>
        <w:pStyle w:val="ListBullet"/>
        <w:numPr>
          <w:ilvl w:val="0"/>
          <w:numId w:val="1"/>
        </w:numPr>
        <w:spacing w:before="0" w:after="40"/>
        <w:contextualSpacing/>
        <w:rPr/>
      </w:pPr>
      <w:r>
        <w:rPr>
          <w:b/>
        </w:rPr>
        <w:t xml:space="preserve">Main workflow. </w:t>
      </w:r>
      <w:r>
        <w:rPr/>
        <w:t>The primary landing experience is the administrative copilot. A student can enter “I lost my ID card. What should I do?” and select Get guidance. The interface returns the ID-card service, responsible department, confidence, grounded answer, next action, extracted details, official sources, and machine-readable service-request JSON.</w:t>
      </w:r>
    </w:p>
    <w:p>
      <w:pPr>
        <w:pStyle w:val="ListBullet"/>
        <w:numPr>
          <w:ilvl w:val="0"/>
          <w:numId w:val="1"/>
        </w:numPr>
        <w:spacing w:before="0" w:after="40"/>
        <w:contextualSpacing/>
        <w:rPr/>
      </w:pPr>
      <w:r>
        <w:rPr>
          <w:b/>
        </w:rPr>
        <w:t xml:space="preserve">User experience. </w:t>
      </w:r>
      <w:r>
        <w:rPr/>
        <w:t>The final UI is responsive, calm and direct: it uses HTML, CSS and JavaScript with no animations, clear hierarchy, progressive disclosure, accessible controls, and a visible no-data-storage message.</w:t>
      </w:r>
    </w:p>
    <w:p>
      <w:pPr>
        <w:pStyle w:val="ListBullet"/>
        <w:numPr>
          <w:ilvl w:val="0"/>
          <w:numId w:val="1"/>
        </w:numPr>
        <w:spacing w:before="0" w:after="40"/>
        <w:contextualSpacing/>
        <w:rPr/>
      </w:pPr>
      <w:r>
        <w:rPr>
          <w:b/>
        </w:rPr>
        <w:t xml:space="preserve">Preserved work. </w:t>
      </w:r>
      <w:r>
        <w:rPr/>
        <w:t>The existing elective advisor, partner integration, responsible-AI analysis and architecture views remain available in the same application. The elective workflow continues to identify the right course from several syllabi and a student identity.</w:t>
      </w:r>
    </w:p>
    <w:p>
      <w:pPr>
        <w:pStyle w:val="ListBullet"/>
        <w:numPr>
          <w:ilvl w:val="0"/>
          <w:numId w:val="1"/>
        </w:numPr>
        <w:spacing w:before="0" w:after="40"/>
        <w:contextualSpacing/>
        <w:rPr/>
      </w:pPr>
      <w:r>
        <w:rPr>
          <w:b/>
        </w:rPr>
        <w:t xml:space="preserve">Runnable delivery. </w:t>
      </w:r>
      <w:r>
        <w:rPr/>
        <w:t>A fresh checkout without optional gitignored model artefacts remains usable through an explicit deterministic demo fallback grounded in the verified service catalogue and knowledge base. The trained model path and reusable NLP component are unchanged.</w:t>
      </w:r>
    </w:p>
    <w:p>
      <w:pPr>
        <w:pStyle w:val="Heading1"/>
        <w:rPr/>
      </w:pPr>
      <w:r>
        <w:rPr/>
        <w:t>1. Final application</w:t>
      </w:r>
    </w:p>
    <w:p>
      <w:pPr>
        <w:pStyle w:val="Normal"/>
        <w:spacing w:before="0" w:after="100"/>
        <w:rPr/>
      </w:pPr>
      <w:r>
        <w:rPr/>
        <w:t>The final web application is served by the FastAPI backend at /ui/. The first tab is Ask the copilot, which directly addresses the Group 10 objective. The user journey is:</w:t>
      </w:r>
    </w:p>
    <w:p>
      <w:pPr>
        <w:pStyle w:val="ListNumber"/>
        <w:numPr>
          <w:ilvl w:val="0"/>
          <w:numId w:val="4"/>
        </w:numPr>
        <w:spacing w:before="0" w:after="40"/>
        <w:contextualSpacing/>
        <w:rPr/>
      </w:pPr>
      <w:r>
        <w:rPr/>
        <w:t>Enter an administrative question in natural language or choose a common-request example.</w:t>
      </w:r>
    </w:p>
    <w:p>
      <w:pPr>
        <w:pStyle w:val="ListNumber"/>
        <w:numPr>
          <w:ilvl w:val="0"/>
          <w:numId w:val="4"/>
        </w:numPr>
        <w:spacing w:before="0" w:after="40"/>
        <w:contextualSpacing/>
        <w:rPr/>
      </w:pPr>
      <w:r>
        <w:rPr/>
        <w:t>Select Get guidance.</w:t>
      </w:r>
    </w:p>
    <w:p>
      <w:pPr>
        <w:pStyle w:val="ListNumber"/>
        <w:numPr>
          <w:ilvl w:val="0"/>
          <w:numId w:val="4"/>
        </w:numPr>
        <w:spacing w:before="0" w:after="40"/>
        <w:contextualSpacing/>
        <w:rPr/>
      </w:pPr>
      <w:r>
        <w:rPr/>
        <w:t>Review intent, department, confidence and decision status.</w:t>
      </w:r>
    </w:p>
    <w:p>
      <w:pPr>
        <w:pStyle w:val="ListNumber"/>
        <w:numPr>
          <w:ilvl w:val="0"/>
          <w:numId w:val="4"/>
        </w:numPr>
        <w:spacing w:before="0" w:after="40"/>
        <w:contextualSpacing/>
        <w:rPr/>
      </w:pPr>
      <w:r>
        <w:rPr/>
        <w:t>Read the grounded answer and next action.</w:t>
      </w:r>
    </w:p>
    <w:p>
      <w:pPr>
        <w:pStyle w:val="ListNumber"/>
        <w:numPr>
          <w:ilvl w:val="0"/>
          <w:numId w:val="4"/>
        </w:numPr>
        <w:spacing w:before="0" w:after="40"/>
        <w:contextualSpacing/>
        <w:rPr/>
      </w:pPr>
      <w:r>
        <w:rPr/>
        <w:t>Check required documents, extracted information and official sources.</w:t>
      </w:r>
    </w:p>
    <w:p>
      <w:pPr>
        <w:pStyle w:val="ListNumber"/>
        <w:numPr>
          <w:ilvl w:val="0"/>
          <w:numId w:val="4"/>
        </w:numPr>
        <w:spacing w:before="0" w:after="40"/>
        <w:contextualSpacing/>
        <w:rPr/>
      </w:pPr>
      <w:r>
        <w:rPr/>
        <w:t>Expand the structured service request when another portal or helpdesk needs JSON.</w:t>
      </w:r>
    </w:p>
    <w:p>
      <w:pPr>
        <w:pStyle w:val="Normal"/>
        <w:keepNext w:val="true"/>
        <w:rPr/>
      </w:pPr>
      <w:r>
        <w:rPr>
          <w:b/>
          <w:sz w:val="18"/>
        </w:rPr>
        <w:t>Table 1. Main administrative-copilot demonstration</w:t>
      </w:r>
    </w:p>
    <w:tbl>
      <w:tblPr>
        <w:tblStyle w:val="TableGrid"/>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Output field</w:t>
            </w:r>
          </w:p>
        </w:tc>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Demonstrated result</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Administrative request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 lost my ID card. What should I do?</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Intent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ID_CARDS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Service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DUPLICATE_ID_CARD</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Department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School Academic Office (Course Coordinator / AR / DR)</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Next action</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Apply to the school for a duplicate ID card and pay the prescribed fee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Evidence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MPSTME Student Resource Book 2026, linked from the result</w:t>
            </w:r>
          </w:p>
        </w:tc>
      </w:tr>
    </w:tbl>
    <w:p>
      <w:pPr>
        <w:pStyle w:val="Normal"/>
        <w:spacing w:before="0" w:after="40"/>
        <w:rPr/>
      </w:pPr>
      <w:r>
        <w:rPr/>
      </w:r>
    </w:p>
    <w:p>
      <w:pPr>
        <w:pStyle w:val="Heading1"/>
        <w:rPr/>
      </w:pPr>
      <w:r>
        <w:rPr/>
        <w:t>2. NLP components delivered</w:t>
      </w:r>
    </w:p>
    <w:p>
      <w:pPr>
        <w:pStyle w:val="Normal"/>
        <w:keepNext w:val="true"/>
        <w:rPr/>
      </w:pPr>
      <w:r>
        <w:rPr>
          <w:b/>
          <w:sz w:val="18"/>
        </w:rPr>
        <w:t>Table 2. Expected NLP components and final behavior</w:t>
      </w:r>
    </w:p>
    <w:tbl>
      <w:tblPr>
        <w:tblStyle w:val="TableGrid"/>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Component</w:t>
            </w:r>
          </w:p>
        </w:tc>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Final behavior</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Intent classification</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Administrative intents including certificates, transcripts, ID cards, hostel, examinations, fees, scholarships, attendance, registration, library, student services and welfare.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Routing</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Specific sub-intent mapped to the responsible NMIMS department.</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Named entity recognition</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Student IDs, documents, dates, amounts, percentages, phones, emails and learned entity types.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Information extraction</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Required documents, missing information, priority, request status, supporting facts and next action.</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Semantic search</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Hybrid retrieval over the official NMIMS knowledge base.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RAG / grounded answer</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Answer generated from verified service facts and retrieved source passages with citations.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Structured request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Typed JSON suitable for a downstream student portal or helpdesk.</w:t>
            </w:r>
          </w:p>
        </w:tc>
      </w:tr>
    </w:tbl>
    <w:p>
      <w:pPr>
        <w:pStyle w:val="Normal"/>
        <w:spacing w:before="0" w:after="40"/>
        <w:rPr/>
      </w:pPr>
      <w:r>
        <w:rPr/>
      </w:r>
    </w:p>
    <w:p>
      <w:pPr>
        <w:pStyle w:val="Heading1"/>
        <w:rPr/>
      </w:pPr>
      <w:r>
        <w:rPr/>
        <w:t>3. Interface and integration</w:t>
      </w:r>
    </w:p>
    <w:p>
      <w:pPr>
        <w:pStyle w:val="Normal"/>
        <w:spacing w:before="0" w:after="100"/>
        <w:rPr/>
      </w:pPr>
      <w:r>
        <w:rPr/>
        <w:t>The interface is a single static HTML/CSS/JavaScript page served by the same FastAPI application. It has four tabs:</w:t>
      </w:r>
    </w:p>
    <w:p>
      <w:pPr>
        <w:pStyle w:val="ListBullet"/>
        <w:numPr>
          <w:ilvl w:val="0"/>
          <w:numId w:val="1"/>
        </w:numPr>
        <w:spacing w:before="0" w:after="40"/>
        <w:contextualSpacing/>
        <w:rPr/>
      </w:pPr>
      <w:r>
        <w:rPr>
          <w:b/>
        </w:rPr>
        <w:t xml:space="preserve">Ask the copilot: </w:t>
      </w:r>
      <w:r>
        <w:rPr/>
        <w:t>the primary natural-language administrative workflow with intent, routing, NER, retrieval, grounded answer and structured request.</w:t>
      </w:r>
    </w:p>
    <w:p>
      <w:pPr>
        <w:pStyle w:val="ListBullet"/>
        <w:numPr>
          <w:ilvl w:val="0"/>
          <w:numId w:val="1"/>
        </w:numPr>
        <w:spacing w:before="0" w:after="40"/>
        <w:contextualSpacing/>
        <w:rPr/>
      </w:pPr>
      <w:r>
        <w:rPr>
          <w:b/>
        </w:rPr>
        <w:t xml:space="preserve">Elective advisor: </w:t>
      </w:r>
      <w:r>
        <w:rPr/>
        <w:t>the Week 7 syllabus-and-identity workflow with eligibility checks, recommendation, citations and coordinator review.</w:t>
      </w:r>
    </w:p>
    <w:p>
      <w:pPr>
        <w:pStyle w:val="ListBullet"/>
        <w:numPr>
          <w:ilvl w:val="0"/>
          <w:numId w:val="1"/>
        </w:numPr>
        <w:spacing w:before="0" w:after="40"/>
        <w:contextualSpacing/>
        <w:rPr/>
      </w:pPr>
      <w:r>
        <w:rPr>
          <w:b/>
        </w:rPr>
        <w:t xml:space="preserve">Partner integration: </w:t>
      </w:r>
      <w:r>
        <w:rPr/>
        <w:t>the syllabus-service and student-record contracts, bundled mocks, call log and end-to-end advice.</w:t>
      </w:r>
    </w:p>
    <w:p>
      <w:pPr>
        <w:pStyle w:val="ListBullet"/>
        <w:numPr>
          <w:ilvl w:val="0"/>
          <w:numId w:val="1"/>
        </w:numPr>
        <w:spacing w:before="0" w:after="40"/>
        <w:contextualSpacing/>
        <w:rPr/>
      </w:pPr>
      <w:r>
        <w:rPr>
          <w:b/>
        </w:rPr>
        <w:t xml:space="preserve">About and responsible AI: </w:t>
      </w:r>
      <w:r>
        <w:rPr/>
        <w:t>architecture, component boundaries, data minimisation and human-oversight commitments.</w:t>
      </w:r>
    </w:p>
    <w:p>
      <w:pPr>
        <w:pStyle w:val="Normal"/>
        <w:keepNext w:val="true"/>
        <w:rPr/>
      </w:pPr>
      <w:r>
        <w:rPr>
          <w:b/>
          <w:sz w:val="18"/>
        </w:rPr>
        <w:t>Table 3. Final application API surface</w:t>
      </w:r>
    </w:p>
    <w:tbl>
      <w:tblPr>
        <w:tblStyle w:val="TableGrid"/>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Endpoint</w:t>
            </w:r>
          </w:p>
        </w:tc>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Purpose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/v1/analyze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Full administrative pipeline: intent, routing, entities, evidence, answer, service request and decision</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/v1/intent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Intent and confidence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/v1/entities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Named entities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/v1/retrieve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Official evidence passages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/v1/electives/advise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Elective eligibility and recommendation</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POST /v1/electives/advise-from-partners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Partner services to elective advice</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GET /v1/manifest</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Service-registry capability card</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GET /docs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Interactive OpenAPI documentation</w:t>
            </w:r>
          </w:p>
        </w:tc>
      </w:tr>
    </w:tbl>
    <w:p>
      <w:pPr>
        <w:pStyle w:val="Normal"/>
        <w:spacing w:before="0" w:after="40"/>
        <w:rPr/>
      </w:pPr>
      <w:r>
        <w:rPr/>
      </w:r>
    </w:p>
    <w:p>
      <w:pPr>
        <w:pStyle w:val="Heading1"/>
        <w:rPr/>
      </w:pPr>
      <w:r>
        <w:rPr/>
        <w:t>4. Testing and evaluation</w:t>
      </w:r>
    </w:p>
    <w:p>
      <w:pPr>
        <w:pStyle w:val="Normal"/>
        <w:spacing w:before="0" w:after="100"/>
        <w:rPr/>
      </w:pPr>
      <w:r>
        <w:rPr/>
        <w:t>The final implementation was validated with the full repository test suite, targeted API/UI regression tests, Python compilation, a live browser smoke test, and the saved Week 7 evaluation for the unchanged elective advisor.</w:t>
      </w:r>
    </w:p>
    <w:p>
      <w:pPr>
        <w:pStyle w:val="Normal"/>
        <w:keepNext w:val="true"/>
        <w:rPr/>
      </w:pPr>
      <w:r>
        <w:rPr>
          <w:b/>
          <w:sz w:val="18"/>
        </w:rPr>
        <w:t>Table 4. Final release-gate evidence</w:t>
      </w:r>
    </w:p>
    <w:tbl>
      <w:tblPr>
        <w:tblStyle w:val="TableGrid"/>
        <w:tblW w:w="95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762"/>
        <w:gridCol w:w="4762"/>
      </w:tblGrid>
      <w:tr>
        <w:trPr/>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Measure</w:t>
            </w:r>
          </w:p>
        </w:tc>
        <w:tc>
          <w:tcPr>
            <w:tcW w:w="4762"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Result</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Full regression suite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72 passed, 5 skipped</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Focused API/UI regression</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45 passed, 1 skipped</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Held-out elective course decisions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98.46% (63/65)</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Held-out recommendations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100% (12/12)</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Programme profile accuracy</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100%</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Semester accuracy</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100%</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Counterfactual fairness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0 changed decisions across 230 variants</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Cited checks</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100%</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Human-review guidance</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100%</w:t>
            </w:r>
          </w:p>
        </w:tc>
      </w:tr>
      <w:tr>
        <w:trPr/>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Live ID-card workflow</w:t>
            </w:r>
          </w:p>
        </w:tc>
        <w:tc>
          <w:tcPr>
            <w:tcW w:w="4762"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Passed: intent → department → next action → source</w:t>
            </w:r>
          </w:p>
        </w:tc>
      </w:tr>
    </w:tbl>
    <w:p>
      <w:pPr>
        <w:pStyle w:val="Normal"/>
        <w:spacing w:before="0" w:after="40"/>
        <w:rPr/>
      </w:pPr>
      <w:r>
        <w:rPr/>
      </w:r>
    </w:p>
    <w:p>
      <w:pPr>
        <w:pStyle w:val="Normal"/>
        <w:spacing w:before="0" w:after="0"/>
        <w:ind w:start="283"/>
        <w:rPr/>
      </w:pPr>
      <w:r>
        <w:rPr>
          <w:rFonts w:ascii="Consolas" w:hAnsi="Consolas"/>
          <w:sz w:val="17"/>
        </w:rPr>
        <w:t>uv sync</w:t>
      </w:r>
    </w:p>
    <w:p>
      <w:pPr>
        <w:pStyle w:val="Normal"/>
        <w:spacing w:before="0" w:after="0"/>
        <w:ind w:start="283"/>
        <w:rPr/>
      </w:pPr>
      <w:r>
        <w:rPr>
          <w:rFonts w:ascii="Consolas" w:hAnsi="Consolas"/>
          <w:sz w:val="17"/>
        </w:rPr>
        <w:t>uv run pytest -q</w:t>
      </w:r>
    </w:p>
    <w:p>
      <w:pPr>
        <w:pStyle w:val="Normal"/>
        <w:spacing w:before="0" w:after="0"/>
        <w:ind w:start="283"/>
        <w:rPr/>
      </w:pPr>
      <w:r>
        <w:rPr>
          <w:rFonts w:ascii="Consolas" w:hAnsi="Consolas"/>
          <w:sz w:val="17"/>
        </w:rPr>
        <w:t>uv run python -m nlp.pipeline.evaluate_week7</w:t>
      </w:r>
    </w:p>
    <w:p>
      <w:pPr>
        <w:pStyle w:val="Normal"/>
        <w:spacing w:before="0" w:after="0"/>
        <w:ind w:start="283"/>
        <w:rPr/>
      </w:pPr>
      <w:r>
        <w:rPr>
          <w:rFonts w:ascii="Consolas" w:hAnsi="Consolas"/>
          <w:sz w:val="17"/>
        </w:rPr>
        <w:t>python -m py_compile src/nlp/component/demo.py src/nlp/component/engine.py src/backend/api/v1.py</w:t>
      </w:r>
    </w:p>
    <w:p>
      <w:pPr>
        <w:pStyle w:val="Normal"/>
        <w:spacing w:before="0" w:after="0"/>
        <w:ind w:start="283"/>
        <w:rPr/>
      </w:pPr>
      <w:r>
        <w:rPr>
          <w:rFonts w:ascii="Consolas" w:hAnsi="Consolas"/>
          <w:sz w:val="17"/>
        </w:rPr>
        <w:t>uv run uvicorn backend.main:app --host 127.0.0.1 --port 8000</w:t>
      </w:r>
    </w:p>
    <w:p>
      <w:pPr>
        <w:pStyle w:val="Heading1"/>
        <w:rPr/>
      </w:pPr>
      <w:r>
        <w:rPr/>
        <w:t>5. Demonstration and setup</w:t>
      </w:r>
    </w:p>
    <w:p>
      <w:pPr>
        <w:pStyle w:val="Normal"/>
        <w:spacing w:before="0" w:after="100"/>
        <w:rPr/>
      </w:pPr>
      <w:r>
        <w:rPr/>
        <w:t>The repository README begins with complete installation and launch instructions for uv and pip on Linux/macOS, Windows PowerShell and Windows Command Prompt. The recommended demonstration is:</w:t>
      </w:r>
    </w:p>
    <w:p>
      <w:pPr>
        <w:pStyle w:val="ListNumber"/>
        <w:numPr>
          <w:ilvl w:val="0"/>
          <w:numId w:val="4"/>
        </w:numPr>
        <w:spacing w:before="0" w:after="40"/>
        <w:contextualSpacing/>
        <w:rPr/>
      </w:pPr>
      <w:r>
        <w:rPr/>
        <w:t>Run uv sync.</w:t>
      </w:r>
    </w:p>
    <w:p>
      <w:pPr>
        <w:pStyle w:val="ListNumber"/>
        <w:numPr>
          <w:ilvl w:val="0"/>
          <w:numId w:val="4"/>
        </w:numPr>
        <w:spacing w:before="0" w:after="40"/>
        <w:contextualSpacing/>
        <w:rPr/>
      </w:pPr>
      <w:r>
        <w:rPr/>
        <w:t>Start uv run uvicorn backend.main:app --host 127.0.0.1 --port 8000.</w:t>
      </w:r>
    </w:p>
    <w:p>
      <w:pPr>
        <w:pStyle w:val="ListNumber"/>
        <w:numPr>
          <w:ilvl w:val="0"/>
          <w:numId w:val="4"/>
        </w:numPr>
        <w:spacing w:before="0" w:after="40"/>
        <w:contextualSpacing/>
        <w:rPr/>
      </w:pPr>
      <w:r>
        <w:rPr/>
        <w:t>Open http://127.0.0.1:8000/ui/.</w:t>
      </w:r>
    </w:p>
    <w:p>
      <w:pPr>
        <w:pStyle w:val="ListNumber"/>
        <w:numPr>
          <w:ilvl w:val="0"/>
          <w:numId w:val="4"/>
        </w:numPr>
        <w:spacing w:before="0" w:after="40"/>
        <w:contextualSpacing/>
        <w:rPr/>
      </w:pPr>
      <w:r>
        <w:rPr/>
        <w:t>Ask: I lost my ID card. What should I do?</w:t>
      </w:r>
    </w:p>
    <w:p>
      <w:pPr>
        <w:pStyle w:val="ListNumber"/>
        <w:numPr>
          <w:ilvl w:val="0"/>
          <w:numId w:val="4"/>
        </w:numPr>
        <w:spacing w:before="0" w:after="40"/>
        <w:contextualSpacing/>
        <w:rPr/>
      </w:pPr>
      <w:r>
        <w:rPr/>
        <w:t>Review the structured response and official source.</w:t>
      </w:r>
    </w:p>
    <w:p>
      <w:pPr>
        <w:pStyle w:val="ListNumber"/>
        <w:numPr>
          <w:ilvl w:val="0"/>
          <w:numId w:val="4"/>
        </w:numPr>
        <w:spacing w:before="0" w:after="40"/>
        <w:contextualSpacing/>
        <w:rPr/>
      </w:pPr>
      <w:r>
        <w:rPr/>
        <w:t>Open the Elective advisor and Partner integration tabs to demonstrate the retained Week 7 work.</w:t>
      </w:r>
    </w:p>
    <w:p>
      <w:pPr>
        <w:pStyle w:val="Normal"/>
        <w:spacing w:before="0" w:after="100"/>
        <w:rPr/>
      </w:pPr>
      <w:r>
        <w:rPr/>
        <w:t>The browser demo works from a fresh checkout when model files are absent because the HTTP API uses the explicit demo fallback. The full trained pipeline remains available after the model-training commands in docs/nlp_component.md.</w:t>
      </w:r>
    </w:p>
    <w:p>
      <w:pPr>
        <w:pStyle w:val="Heading1"/>
        <w:rPr/>
      </w:pPr>
      <w:r>
        <w:rPr/>
        <w:t>6. Architecture and responsible AI</w:t>
      </w:r>
    </w:p>
    <w:p>
      <w:pPr>
        <w:pStyle w:val="Normal"/>
        <w:spacing w:before="0" w:after="100"/>
        <w:rPr/>
      </w:pPr>
      <w:r>
        <w:rPr/>
        <w:t>The component is stateless and exposes typed versioned contracts. Official facts, knowledge-base passages and programme structures are repository inputs. External syllabus and student-record services are optional explicit contracts. The architecture diagram is in docs/architecture.md and the presentation-ready summary is in docs/final_presentation.md.</w:t>
      </w:r>
    </w:p>
    <w:p>
      <w:pPr>
        <w:pStyle w:val="ListBullet"/>
        <w:numPr>
          <w:ilvl w:val="0"/>
          <w:numId w:val="1"/>
        </w:numPr>
        <w:spacing w:before="0" w:after="40"/>
        <w:contextualSpacing/>
        <w:rPr/>
      </w:pPr>
      <w:r>
        <w:rPr/>
        <w:t>Unknown programmes and unsupported questions are not confidently guessed.</w:t>
      </w:r>
    </w:p>
    <w:p>
      <w:pPr>
        <w:pStyle w:val="ListBullet"/>
        <w:numPr>
          <w:ilvl w:val="0"/>
          <w:numId w:val="1"/>
        </w:numPr>
        <w:spacing w:before="0" w:after="40"/>
        <w:contextualSpacing/>
        <w:rPr/>
      </w:pPr>
      <w:r>
        <w:rPr/>
        <w:t>Interests affect elective ranking only and never eligibility.</w:t>
      </w:r>
    </w:p>
    <w:p>
      <w:pPr>
        <w:pStyle w:val="ListBullet"/>
        <w:numPr>
          <w:ilvl w:val="0"/>
          <w:numId w:val="1"/>
        </w:numPr>
        <w:spacing w:before="0" w:after="40"/>
        <w:contextualSpacing/>
        <w:rPr/>
      </w:pPr>
      <w:r>
        <w:rPr/>
        <w:t>The system distinguishes published NMIMS rules from advisor policy.</w:t>
      </w:r>
    </w:p>
    <w:p>
      <w:pPr>
        <w:pStyle w:val="ListBullet"/>
        <w:numPr>
          <w:ilvl w:val="0"/>
          <w:numId w:val="1"/>
        </w:numPr>
        <w:spacing w:before="0" w:after="40"/>
        <w:contextualSpacing/>
        <w:rPr/>
      </w:pPr>
      <w:r>
        <w:rPr/>
        <w:t>The partner contract requests only programme, year, semester and completed courses.</w:t>
      </w:r>
    </w:p>
    <w:p>
      <w:pPr>
        <w:pStyle w:val="ListBullet"/>
        <w:numPr>
          <w:ilvl w:val="0"/>
          <w:numId w:val="1"/>
        </w:numPr>
        <w:spacing w:before="0" w:after="40"/>
        <w:contextualSpacing/>
        <w:rPr/>
      </w:pPr>
      <w:r>
        <w:rPr/>
        <w:t>The system does not enrol students; coordinators and departments retain final control over capacity, timetable, backlog, approval and registration.</w:t>
      </w:r>
    </w:p>
    <w:p>
      <w:pPr>
        <w:pStyle w:val="Heading1"/>
        <w:rPr/>
      </w:pPr>
      <w:r>
        <w:rPr/>
        <w:t>7. Documentation and submission package</w:t>
      </w:r>
    </w:p>
    <w:p>
      <w:pPr>
        <w:pStyle w:val="ListBullet"/>
        <w:numPr>
          <w:ilvl w:val="0"/>
          <w:numId w:val="1"/>
        </w:numPr>
        <w:spacing w:before="0" w:after="40"/>
        <w:contextualSpacing/>
        <w:rPr/>
      </w:pPr>
      <w:r>
        <w:rPr>
          <w:b/>
        </w:rPr>
        <w:t xml:space="preserve">README.md: </w:t>
      </w:r>
      <w:r>
        <w:rPr/>
        <w:t>cross-platform installation, activation, launch and browser/API access.</w:t>
      </w:r>
    </w:p>
    <w:p>
      <w:pPr>
        <w:pStyle w:val="ListBullet"/>
        <w:numPr>
          <w:ilvl w:val="0"/>
          <w:numId w:val="1"/>
        </w:numPr>
        <w:spacing w:before="0" w:after="40"/>
        <w:contextualSpacing/>
        <w:rPr/>
      </w:pPr>
      <w:r>
        <w:rPr>
          <w:b/>
        </w:rPr>
        <w:t xml:space="preserve">docs/week8_final_report.md: </w:t>
      </w:r>
      <w:r>
        <w:rPr/>
        <w:t>detailed final report in Markdown.</w:t>
      </w:r>
    </w:p>
    <w:p>
      <w:pPr>
        <w:pStyle w:val="ListBullet"/>
        <w:numPr>
          <w:ilvl w:val="0"/>
          <w:numId w:val="1"/>
        </w:numPr>
        <w:spacing w:before="0" w:after="40"/>
        <w:contextualSpacing/>
        <w:rPr/>
      </w:pPr>
      <w:r>
        <w:rPr>
          <w:b/>
        </w:rPr>
        <w:t xml:space="preserve">docs/final_presentation.md: </w:t>
      </w:r>
      <w:r>
        <w:rPr/>
        <w:t>presentation outline for the final demonstration.</w:t>
      </w:r>
    </w:p>
    <w:p>
      <w:pPr>
        <w:pStyle w:val="ListBullet"/>
        <w:numPr>
          <w:ilvl w:val="0"/>
          <w:numId w:val="1"/>
        </w:numPr>
        <w:spacing w:before="0" w:after="40"/>
        <w:contextualSpacing/>
        <w:rPr/>
      </w:pPr>
      <w:r>
        <w:rPr>
          <w:b/>
        </w:rPr>
        <w:t xml:space="preserve">docs/demo_script.md: </w:t>
      </w:r>
      <w:r>
        <w:rPr/>
        <w:t>timed demonstration and recovery script.</w:t>
      </w:r>
    </w:p>
    <w:p>
      <w:pPr>
        <w:pStyle w:val="ListBullet"/>
        <w:numPr>
          <w:ilvl w:val="0"/>
          <w:numId w:val="1"/>
        </w:numPr>
        <w:spacing w:before="0" w:after="40"/>
        <w:contextualSpacing/>
        <w:rPr/>
      </w:pPr>
      <w:r>
        <w:rPr>
          <w:b/>
        </w:rPr>
        <w:t xml:space="preserve">docs/architecture.md: </w:t>
      </w:r>
      <w:r>
        <w:rPr/>
        <w:t>final Mermaid architecture diagram and runtime boundaries.</w:t>
      </w:r>
    </w:p>
    <w:p>
      <w:pPr>
        <w:pStyle w:val="ListBullet"/>
        <w:numPr>
          <w:ilvl w:val="0"/>
          <w:numId w:val="1"/>
        </w:numPr>
        <w:spacing w:before="0" w:after="40"/>
        <w:contextualSpacing/>
        <w:rPr/>
      </w:pPr>
      <w:r>
        <w:rPr>
          <w:b/>
        </w:rPr>
        <w:t xml:space="preserve">docs/responsible_ai.md: </w:t>
      </w:r>
      <w:r>
        <w:rPr/>
        <w:t>measured fairness, transparency, privacy and limitations analysis.</w:t>
      </w:r>
    </w:p>
    <w:p>
      <w:pPr>
        <w:pStyle w:val="ListBullet"/>
        <w:numPr>
          <w:ilvl w:val="0"/>
          <w:numId w:val="1"/>
        </w:numPr>
        <w:spacing w:before="0" w:after="40"/>
        <w:contextualSpacing/>
        <w:rPr/>
      </w:pPr>
      <w:r>
        <w:rPr>
          <w:b/>
        </w:rPr>
        <w:t xml:space="preserve">submissions/week8/Group10_Week8_code.zip: </w:t>
      </w:r>
      <w:r>
        <w:rPr/>
        <w:t>source archive for submission.</w:t>
      </w:r>
    </w:p>
    <w:p>
      <w:pPr>
        <w:pStyle w:val="Heading1"/>
        <w:rPr/>
      </w:pPr>
      <w:r>
        <w:rPr/>
        <w:t>8. Limitations and next steps</w:t>
      </w:r>
    </w:p>
    <w:p>
      <w:pPr>
        <w:pStyle w:val="ListBullet"/>
        <w:numPr>
          <w:ilvl w:val="0"/>
          <w:numId w:val="1"/>
        </w:numPr>
        <w:spacing w:before="0" w:after="40"/>
        <w:contextualSpacing/>
        <w:rPr/>
      </w:pPr>
      <w:r>
        <w:rPr/>
        <w:t>The production catalogue is limited to the MPSTME 2026 structures represented in the repository.</w:t>
      </w:r>
    </w:p>
    <w:p>
      <w:pPr>
        <w:pStyle w:val="ListBullet"/>
        <w:numPr>
          <w:ilvl w:val="0"/>
          <w:numId w:val="1"/>
        </w:numPr>
        <w:spacing w:before="0" w:after="40"/>
        <w:contextualSpacing/>
        <w:rPr/>
      </w:pPr>
      <w:r>
        <w:rPr/>
        <w:t>Demo syllabi are illustrative and should be replaced with approved current syllabi for production.</w:t>
      </w:r>
    </w:p>
    <w:p>
      <w:pPr>
        <w:pStyle w:val="ListBullet"/>
        <w:numPr>
          <w:ilvl w:val="0"/>
          <w:numId w:val="1"/>
        </w:numPr>
        <w:spacing w:before="0" w:after="40"/>
        <w:contextualSpacing/>
        <w:rPr/>
      </w:pPr>
      <w:r>
        <w:rPr/>
        <w:t>The trained model artefacts are gitignored and must be generated or supplied for learned-model deployment.</w:t>
      </w:r>
    </w:p>
    <w:p>
      <w:pPr>
        <w:pStyle w:val="ListBullet"/>
        <w:numPr>
          <w:ilvl w:val="0"/>
          <w:numId w:val="1"/>
        </w:numPr>
        <w:spacing w:before="0" w:after="40"/>
        <w:contextualSpacing/>
        <w:rPr/>
      </w:pPr>
      <w:r>
        <w:rPr/>
        <w:t>A coordinator pilot with real student requests is recommended before institutional rollout.</w:t>
      </w:r>
    </w:p>
    <w:p>
      <w:pPr>
        <w:pStyle w:val="Heading1"/>
        <w:rPr/>
      </w:pPr>
      <w:r>
        <w:rPr/>
        <w:t>9. Code included in the submission</w:t>
      </w:r>
    </w:p>
    <w:p>
      <w:pPr>
        <w:pStyle w:val="Normal"/>
        <w:keepNext w:val="true"/>
        <w:rPr/>
      </w:pPr>
      <w:r>
        <w:rPr>
          <w:b/>
          <w:sz w:val="18"/>
        </w:rPr>
        <w:t>Table 5. Week 8 code and documentation snapshot</w:t>
      </w:r>
    </w:p>
    <w:tbl>
      <w:tblPr>
        <w:tblStyle w:val="TableGrid"/>
        <w:tblW w:w="952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75"/>
        <w:gridCol w:w="3175"/>
        <w:gridCol w:w="3176"/>
      </w:tblGrid>
      <w:tr>
        <w:trPr/>
        <w:tc>
          <w:tcPr>
            <w:tcW w:w="3175"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File / folder</w:t>
            </w:r>
          </w:p>
        </w:tc>
        <w:tc>
          <w:tcPr>
            <w:tcW w:w="3175"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Purpose</w:t>
            </w:r>
          </w:p>
        </w:tc>
        <w:tc>
          <w:tcPr>
            <w:tcW w:w="3176" w:type="dxa"/>
            <w:tcBorders/>
            <w:shd w:color="auto" w:fill="E7ECF3"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Lines</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src/backend/static/</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Primary HTML, CSS and JavaScript web application</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621</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src/backend/api/v1.py</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Versioned administrative NLP API and demo fallback selection</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68</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src/nlp/component/</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Typed reusable NLP component</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630</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src/nlp/component/demo.py</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Fresh-checkout browser fallback</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118</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src/nlp/knowledge/</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Verified service catalogue and knowledge base access</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78</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src/nlp/electives/</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Elective advisor</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1050</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docs/</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Final report, presentation, runbook, architecture and responsible AI</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1027</w:t>
            </w:r>
          </w:p>
        </w:tc>
      </w:tr>
      <w:tr>
        <w:trPr/>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tests/</w:t>
            </w:r>
          </w:p>
        </w:tc>
        <w:tc>
          <w:tcPr>
            <w:tcW w:w="317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Regression and fallback tests</w:t>
            </w:r>
          </w:p>
        </w:tc>
        <w:tc>
          <w:tcPr>
            <w:tcW w:w="317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633</w:t>
            </w:r>
          </w:p>
        </w:tc>
      </w:tr>
    </w:tbl>
    <w:p>
      <w:pPr>
        <w:pStyle w:val="Normal"/>
        <w:spacing w:before="0" w:after="40"/>
        <w:rPr/>
      </w:pPr>
      <w:r>
        <w:rPr/>
      </w:r>
    </w:p>
    <w:p>
      <w:pPr>
        <w:pStyle w:val="Normal"/>
        <w:spacing w:before="0" w:after="0"/>
        <w:ind w:hanging="0" w:start="0"/>
        <w:rPr/>
      </w:pPr>
      <w:r>
        <w:rPr>
          <w:rFonts w:ascii="Consolas" w:hAnsi="Consolas"/>
          <w:sz w:val="17"/>
        </w:rPr>
        <w:t>uv sync</w:t>
      </w:r>
    </w:p>
    <w:p>
      <w:pPr>
        <w:pStyle w:val="Normal"/>
        <w:spacing w:before="0" w:after="0"/>
        <w:ind w:start="283"/>
        <w:rPr/>
      </w:pPr>
      <w:r>
        <w:rPr>
          <w:rFonts w:ascii="Consolas" w:hAnsi="Consolas"/>
          <w:sz w:val="17"/>
        </w:rPr>
        <w:t>uv run uvicorn backend.main:app --host 127.0.0.1 --port 8000</w:t>
      </w:r>
    </w:p>
    <w:p>
      <w:pPr>
        <w:pStyle w:val="Normal"/>
        <w:spacing w:before="0" w:after="0"/>
        <w:ind w:start="283"/>
        <w:rPr/>
      </w:pPr>
      <w:r>
        <w:rPr>
          <w:rFonts w:ascii="Consolas" w:hAnsi="Consolas"/>
          <w:sz w:val="17"/>
        </w:rPr>
        <w:t># open http://127.0.0.1:8000/ui/</w:t>
      </w:r>
    </w:p>
    <w:p>
      <w:pPr>
        <w:pStyle w:val="Normal"/>
        <w:spacing w:before="0" w:after="0"/>
        <w:ind w:start="283"/>
        <w:rPr>
          <w:rFonts w:ascii="Consolas" w:hAnsi="Consolas"/>
          <w:sz w:val="17"/>
        </w:rPr>
      </w:pPr>
      <w:r>
        <w:rPr>
          <w:rFonts w:ascii="Consolas" w:hAnsi="Consolas"/>
          <w:sz w:val="17"/>
        </w:rPr>
        <w:t>uv run pytest -q</w:t>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r>
    </w:p>
    <w:p>
      <w:pPr>
        <w:pStyle w:val="Normal"/>
        <w:spacing w:before="0" w:after="0"/>
        <w:ind w:start="283"/>
        <w:rPr>
          <w:rFonts w:ascii="Consolas" w:hAnsi="Consolas"/>
          <w:sz w:val="17"/>
        </w:rPr>
      </w:pPr>
      <w:r>
        <w:rPr>
          <w:rFonts w:ascii="Consolas" w:hAnsi="Consolas"/>
          <w:sz w:val="17"/>
        </w:rPr>
        <w:drawing>
          <wp:anchor distT="0" distB="0" distL="0" distR="0" simplePos="0" relativeHeight="2" behindDoc="0" locked="0" layoutInCell="0" allowOverlap="1">
            <wp:simplePos x="0" y="0"/>
            <wp:positionH relativeFrom="column">
              <wp:posOffset>90170</wp:posOffset>
            </wp:positionH>
            <wp:positionV relativeFrom="paragraph">
              <wp:posOffset>-304800</wp:posOffset>
            </wp:positionV>
            <wp:extent cx="5868035" cy="262890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68035" cy="262890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83185</wp:posOffset>
            </wp:positionH>
            <wp:positionV relativeFrom="paragraph">
              <wp:posOffset>2491105</wp:posOffset>
            </wp:positionV>
            <wp:extent cx="5868035" cy="26111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68035" cy="261112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64135</wp:posOffset>
            </wp:positionH>
            <wp:positionV relativeFrom="paragraph">
              <wp:posOffset>5351145</wp:posOffset>
            </wp:positionV>
            <wp:extent cx="5868035" cy="26200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68035" cy="2620010"/>
                    </a:xfrm>
                    <a:prstGeom prst="rect">
                      <a:avLst/>
                    </a:prstGeom>
                    <a:noFill/>
                  </pic:spPr>
                </pic:pic>
              </a:graphicData>
            </a:graphic>
          </wp:anchor>
        </w:drawing>
      </w:r>
      <w:r>
        <w:rPr>
          <w:rFonts w:ascii="Consolas" w:hAnsi="Consolas"/>
          <w:sz w:val="17"/>
        </w:rPr>
        <w:softHyphen/>
      </w:r>
    </w:p>
    <w:sectPr>
      <w:footerReference w:type="even" r:id="rId5"/>
      <w:footerReference w:type="default" r:id="rId6"/>
      <w:footerReference w:type="first" r:id="rId7"/>
      <w:type w:val="nextPage"/>
      <w:pgSz w:w="11906" w:h="16838"/>
      <w:pgMar w:left="1191" w:right="1191" w:gutter="0" w:header="0" w:top="1077" w:footer="72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2A44"/>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2A44"/>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LibreOffice/26.2.6.3$Linux_X86_64 LibreOffice_project/5ee30b54a36f851d3bb491136d09bb3f561e1b7f</Application>
  <AppVersion>15.0000</AppVersion>
  <Pages>6</Pages>
  <Words>1229</Words>
  <Characters>8014</Characters>
  <CharactersWithSpaces>9031</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2026-10-29T14:42:35Z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