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8 final report — University Administrative Copilot</w:t>
      </w:r>
    </w:p>
    <w:p>
      <w:r>
        <w:t>Group 10 (J054, J055, J056, J057, J059)</w:t>
      </w:r>
    </w:p>
    <w:p>
      <w:r>
        <w:t>Target: 30 October</w:t>
      </w:r>
    </w:p>
    <w:p>
      <w:r>
        <w:t>Finalized: 29 October 2026</w:t>
      </w:r>
    </w:p>
    <w:p>
      <w:pPr>
        <w:pStyle w:val="Heading1"/>
      </w:pPr>
      <w:r>
        <w:t>1. Problem and final outcome</w:t>
      </w:r>
    </w:p>
    <w:p>
      <w:r>
        <w:t>The system receives multiple syllabi on a topic, including a new syllabus for</w:t>
      </w:r>
    </w:p>
    <w:p>
      <w:r>
        <w:t>an additional course, and a student's academic identity (for example, “third</w:t>
      </w:r>
    </w:p>
    <w:p>
      <w:r>
        <w:t>year student, computer science program”). It identifies which electives the</w:t>
      </w:r>
    </w:p>
    <w:p>
      <w:r>
        <w:t>student can enrol in and recommends the best eligible option.</w:t>
      </w:r>
    </w:p>
    <w:p>
      <w:r>
        <w:t>The final repository contains a working browser application at /ui/, a</w:t>
      </w:r>
    </w:p>
    <w:p>
      <w:r>
        <w:t>versioned FastAPI service at /v1, a partner integration contract, official</w:t>
      </w:r>
    </w:p>
    <w:p>
      <w:r>
        <w:t>programme-structure data, explainable eligibility checks, and the earlier</w:t>
      </w:r>
    </w:p>
    <w:p>
      <w:r>
        <w:t>administrative NLP component. The advisor does not enrol the student: it</w:t>
      </w:r>
    </w:p>
    <w:p>
      <w:r>
        <w:t>provides a cited recommendation and a coordinator review step.</w:t>
      </w:r>
    </w:p>
    <w:p>
      <w:r>
        <w:t>The browser experience also works from a fresh checkout before optional</w:t>
      </w:r>
    </w:p>
    <w:p>
      <w:r>
        <w:t>gitignored model artefacts are trained. In that case the HTTP component uses a</w:t>
      </w:r>
    </w:p>
    <w:p>
      <w:r>
        <w:t>clearly labelled deterministic demo fallback over the verified service</w:t>
      </w:r>
    </w:p>
    <w:p>
      <w:r>
        <w:t>catalogue and knowledge base; the trained-model path remains available for</w:t>
      </w:r>
    </w:p>
    <w:p>
      <w:r>
        <w:t>full evaluation and deployment.</w:t>
      </w:r>
    </w:p>
    <w:p>
      <w:pPr>
        <w:pStyle w:val="Heading1"/>
      </w:pPr>
      <w:r>
        <w:t>2. What was completed in Week 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Deliverable</w:t>
            </w:r>
          </w:p>
        </w:tc>
        <w:tc>
          <w:tcPr>
            <w:tcW w:type="dxa" w:w="4968"/>
          </w:tcPr>
          <w:p>
            <w:r>
              <w:t>Final location</w:t>
            </w:r>
          </w:p>
        </w:tc>
      </w:tr>
      <w:tr>
        <w:tc>
          <w:tcPr>
            <w:tcW w:type="dxa" w:w="4968"/>
          </w:tcPr>
          <w:p>
            <w:r>
              <w:t>Final testing</w:t>
            </w:r>
          </w:p>
        </w:tc>
        <w:tc>
          <w:tcPr>
            <w:tcW w:type="dxa" w:w="4968"/>
          </w:tcPr>
          <w:p>
            <w:r>
              <w:t>`pytest` and `python -m nlp.pipeline.evaluate_week7`</w:t>
            </w:r>
          </w:p>
        </w:tc>
      </w:tr>
      <w:tr>
        <w:tc>
          <w:tcPr>
            <w:tcW w:type="dxa" w:w="4968"/>
          </w:tcPr>
          <w:p>
            <w:r>
              <w:t>Final report</w:t>
            </w:r>
          </w:p>
        </w:tc>
        <w:tc>
          <w:tcPr>
            <w:tcW w:type="dxa" w:w="4968"/>
          </w:tcPr>
          <w:p>
            <w:r>
              <w:t>This document</w:t>
            </w:r>
          </w:p>
        </w:tc>
      </w:tr>
      <w:tr>
        <w:tc>
          <w:tcPr>
            <w:tcW w:type="dxa" w:w="4968"/>
          </w:tcPr>
          <w:p>
            <w:r>
              <w:t>README</w:t>
            </w:r>
          </w:p>
        </w:tc>
        <w:tc>
          <w:tcPr>
            <w:tcW w:type="dxa" w:w="4968"/>
          </w:tcPr>
          <w:p>
            <w:r>
              <w:t>[`README.md`](../README.md)</w:t>
            </w:r>
          </w:p>
        </w:tc>
      </w:tr>
      <w:tr>
        <w:tc>
          <w:tcPr>
            <w:tcW w:type="dxa" w:w="4968"/>
          </w:tcPr>
          <w:p>
            <w:r>
              <w:t>Presentation</w:t>
            </w:r>
          </w:p>
        </w:tc>
        <w:tc>
          <w:tcPr>
            <w:tcW w:type="dxa" w:w="4968"/>
          </w:tcPr>
          <w:p>
            <w:r>
              <w:t>[`final_presentation.md`](final_presentation.md)</w:t>
            </w:r>
          </w:p>
        </w:tc>
      </w:tr>
      <w:tr>
        <w:tc>
          <w:tcPr>
            <w:tcW w:type="dxa" w:w="4968"/>
          </w:tcPr>
          <w:p>
            <w:r>
              <w:t>Demonstration runbook</w:t>
            </w:r>
          </w:p>
        </w:tc>
        <w:tc>
          <w:tcPr>
            <w:tcW w:type="dxa" w:w="4968"/>
          </w:tcPr>
          <w:p>
            <w:r>
              <w:t>[`demo_script.md`](demo_script.md)</w:t>
            </w:r>
          </w:p>
        </w:tc>
      </w:tr>
      <w:tr>
        <w:tc>
          <w:tcPr>
            <w:tcW w:type="dxa" w:w="4968"/>
          </w:tcPr>
          <w:p>
            <w:r>
              <w:t>Architecture diagram</w:t>
            </w:r>
          </w:p>
        </w:tc>
        <w:tc>
          <w:tcPr>
            <w:tcW w:type="dxa" w:w="4968"/>
          </w:tcPr>
          <w:p>
            <w:r>
              <w:t>[`architecture.md`](architecture.md)</w:t>
            </w:r>
          </w:p>
        </w:tc>
      </w:tr>
      <w:tr>
        <w:tc>
          <w:tcPr>
            <w:tcW w:type="dxa" w:w="4968"/>
          </w:tcPr>
          <w:p>
            <w:r>
              <w:t>Final web app</w:t>
            </w:r>
          </w:p>
        </w:tc>
        <w:tc>
          <w:tcPr>
            <w:tcW w:type="dxa" w:w="4968"/>
          </w:tcPr>
          <w:p>
            <w:r>
              <w:t>[`src/backend/`](../src/backend/)</w:t>
            </w:r>
          </w:p>
        </w:tc>
      </w:tr>
      <w:tr>
        <w:tc>
          <w:tcPr>
            <w:tcW w:type="dxa" w:w="4968"/>
          </w:tcPr>
          <w:p>
            <w:r>
              <w:t>Measure</w:t>
            </w:r>
          </w:p>
        </w:tc>
        <w:tc>
          <w:tcPr>
            <w:tcW w:type="dxa" w:w="4968"/>
          </w:tcPr>
          <w:p>
            <w:r>
              <w:t>Result</w:t>
            </w:r>
          </w:p>
        </w:tc>
      </w:tr>
      <w:tr>
        <w:tc>
          <w:tcPr>
            <w:tcW w:type="dxa" w:w="4968"/>
          </w:tcPr>
          <w:p>
            <w:r>
              <w:t>Catalogue programmes</w:t>
            </w:r>
          </w:p>
        </w:tc>
        <w:tc>
          <w:tcPr>
            <w:tcW w:type="dxa" w:w="4968"/>
          </w:tcPr>
          <w:p>
            <w:r>
              <w:t>24</w:t>
            </w:r>
          </w:p>
        </w:tc>
      </w:tr>
      <w:tr>
        <w:tc>
          <w:tcPr>
            <w:tcW w:type="dxa" w:w="4968"/>
          </w:tcPr>
          <w:p>
            <w:r>
              <w:t>Catalogue rows</w:t>
            </w:r>
          </w:p>
        </w:tc>
        <w:tc>
          <w:tcPr>
            <w:tcW w:type="dxa" w:w="4968"/>
          </w:tcPr>
          <w:p>
            <w:r>
              <w:t>1,474</w:t>
            </w:r>
          </w:p>
        </w:tc>
      </w:tr>
      <w:tr>
        <w:tc>
          <w:tcPr>
            <w:tcW w:type="dxa" w:w="4968"/>
          </w:tcPr>
          <w:p>
            <w:r>
              <w:t>Syllabus parsing, original format</w:t>
            </w:r>
          </w:p>
        </w:tc>
        <w:tc>
          <w:tcPr>
            <w:tcW w:type="dxa" w:w="4968"/>
          </w:tcPr>
          <w:p>
            <w:r>
              <w:t>100% on all required fields</w:t>
            </w:r>
          </w:p>
        </w:tc>
      </w:tr>
      <w:tr>
        <w:tc>
          <w:tcPr>
            <w:tcW w:type="dxa" w:w="4968"/>
          </w:tcPr>
          <w:p>
            <w:r>
              <w:t>Syllabus parsing, reformatted inputs</w:t>
            </w:r>
          </w:p>
        </w:tc>
        <w:tc>
          <w:tcPr>
            <w:tcW w:type="dxa" w:w="4968"/>
          </w:tcPr>
          <w:p>
            <w:r>
              <w:t>100% on all required fields</w:t>
            </w:r>
          </w:p>
        </w:tc>
      </w:tr>
      <w:tr>
        <w:tc>
          <w:tcPr>
            <w:tcW w:type="dxa" w:w="4968"/>
          </w:tcPr>
          <w:p>
            <w:r>
              <w:t>Held-out course decisions</w:t>
            </w:r>
          </w:p>
        </w:tc>
        <w:tc>
          <w:tcPr>
            <w:tcW w:type="dxa" w:w="4968"/>
          </w:tcPr>
          <w:p>
            <w:r>
              <w:t>98.46% (64/65)</w:t>
            </w:r>
          </w:p>
        </w:tc>
      </w:tr>
      <w:tr>
        <w:tc>
          <w:tcPr>
            <w:tcW w:type="dxa" w:w="4968"/>
          </w:tcPr>
          <w:p>
            <w:r>
              <w:t>Held-out recommendation cases</w:t>
            </w:r>
          </w:p>
        </w:tc>
        <w:tc>
          <w:tcPr>
            <w:tcW w:type="dxa" w:w="4968"/>
          </w:tcPr>
          <w:p>
            <w:r>
              <w:t>12/12</w:t>
            </w:r>
          </w:p>
        </w:tc>
      </w:tr>
      <w:tr>
        <w:tc>
          <w:tcPr>
            <w:tcW w:type="dxa" w:w="4968"/>
          </w:tcPr>
          <w:p>
            <w:r>
              <w:t>Held-out programme profile accuracy</w:t>
            </w:r>
          </w:p>
        </w:tc>
        <w:tc>
          <w:tcPr>
            <w:tcW w:type="dxa" w:w="4968"/>
          </w:tcPr>
          <w:p>
            <w:r>
              <w:t>100%</w:t>
            </w:r>
          </w:p>
        </w:tc>
      </w:tr>
      <w:tr>
        <w:tc>
          <w:tcPr>
            <w:tcW w:type="dxa" w:w="4968"/>
          </w:tcPr>
          <w:p>
            <w:r>
              <w:t>Held-out semester accuracy</w:t>
            </w:r>
          </w:p>
        </w:tc>
        <w:tc>
          <w:tcPr>
            <w:tcW w:type="dxa" w:w="4968"/>
          </w:tcPr>
          <w:p>
            <w:r>
              <w:t>100%</w:t>
            </w:r>
          </w:p>
        </w:tc>
      </w:tr>
      <w:tr>
        <w:tc>
          <w:tcPr>
            <w:tcW w:type="dxa" w:w="4968"/>
          </w:tcPr>
          <w:p>
            <w:r>
              <w:t>Counterfactual fairness probes</w:t>
            </w:r>
          </w:p>
        </w:tc>
        <w:tc>
          <w:tcPr>
            <w:tcW w:type="dxa" w:w="4968"/>
          </w:tcPr>
          <w:p>
            <w:r>
              <w:t>0 advice changes across 230 variants</w:t>
            </w:r>
          </w:p>
        </w:tc>
      </w:tr>
      <w:tr>
        <w:tc>
          <w:tcPr>
            <w:tcW w:type="dxa" w:w="4968"/>
          </w:tcPr>
          <w:p>
            <w:r>
              <w:t>Outputs with human-review guidance</w:t>
            </w:r>
          </w:p>
        </w:tc>
        <w:tc>
          <w:tcPr>
            <w:tcW w:type="dxa" w:w="4968"/>
          </w:tcPr>
          <w:p>
            <w:r>
              <w:t>100%</w:t>
            </w:r>
          </w:p>
        </w:tc>
      </w:tr>
      <w:tr>
        <w:tc>
          <w:tcPr>
            <w:tcW w:type="dxa" w:w="4968"/>
          </w:tcPr>
          <w:p>
            <w:r>
              <w:t>Checks with citations</w:t>
            </w:r>
          </w:p>
        </w:tc>
        <w:tc>
          <w:tcPr>
            <w:tcW w:type="dxa" w:w="4968"/>
          </w:tcPr>
          <w:p>
            <w:r>
              <w:t>100%</w:t>
            </w:r>
          </w:p>
        </w:tc>
      </w:tr>
    </w:tbl>
    <w:p>
      <w:pPr>
        <w:pStyle w:val="Heading1"/>
      </w:pPr>
      <w:r>
        <w:t>3. Product walkthrough</w:t>
      </w:r>
    </w:p>
    <w:p>
      <w:r>
        <w:t>1. Open /ui/ and select Elective advisor.</w:t>
      </w:r>
    </w:p>
    <w:p>
      <w:r>
        <w:t>2. Keep the default identity or enter a supported programme and semester.</w:t>
      </w:r>
    </w:p>
    <w:p>
      <w:r>
        <w:t>3. Load Artificial intelligence sample syllabi.</w:t>
      </w:r>
    </w:p>
    <w:p>
      <w:r>
        <w:t>4. Click Find my elective.</w:t>
      </w:r>
    </w:p>
    <w:p>
      <w:r>
        <w:t>5. Review the recommendation, confidence, every course decision, rule type,</w:t>
      </w:r>
    </w:p>
    <w:p>
      <w:r>
        <w:t xml:space="preserve">   source citation, overlap warning, and enrolment guidance.</w:t>
      </w:r>
    </w:p>
    <w:p>
      <w:r>
        <w:t>6. Open Partner integration to demonstrate syllabus and student-record</w:t>
      </w:r>
    </w:p>
    <w:p>
      <w:r>
        <w:t xml:space="preserve">   calls through the same contracts used by external components.</w:t>
      </w:r>
    </w:p>
    <w:p>
      <w:r>
        <w:t>7. Open Ask the copilot to demonstrate the Week 6 administrative NLP flow.</w:t>
      </w:r>
    </w:p>
    <w:p>
      <w:pPr>
        <w:pStyle w:val="Heading1"/>
      </w:pPr>
      <w:r>
        <w:t>4. Final evaluation evidence</w:t>
      </w:r>
    </w:p>
    <w:p>
      <w:r>
        <w:t>The Week 7 evaluation remains the final reproducible evaluation of the</w:t>
      </w:r>
    </w:p>
    <w:p>
      <w:r>
        <w:t>unchanged advisor implementation:</w:t>
      </w:r>
    </w:p>
    <w:p>
      <w:r>
        <w:t>The source of record is</w:t>
      </w:r>
    </w:p>
    <w:p>
      <w:r>
        <w:t>[reports/week7/results.json](../reports/week7/results.json), generated by</w:t>
      </w:r>
    </w:p>
    <w:p>
      <w:r>
        <w:t>python -m nlp.pipeline.evaluate_week7. Limitations and deployment</w:t>
      </w:r>
    </w:p>
    <w:p>
      <w:r>
        <w:t>commitments are documented in</w:t>
      </w:r>
    </w:p>
    <w:p>
      <w:r>
        <w:t>[responsible_ai.md](responsible_ai.md).</w:t>
      </w:r>
    </w:p>
    <w:p>
      <w:pPr>
        <w:pStyle w:val="Heading1"/>
      </w:pPr>
      <w:r>
        <w:t>5. Testing and release gate</w:t>
      </w:r>
    </w:p>
    <w:p>
      <w:r>
        <w:t>Run from the repository root:</w:t>
      </w:r>
    </w:p>
    <w:p>
      <w:r>
        <w:t>uv sync</w:t>
      </w:r>
    </w:p>
    <w:p>
      <w:r>
        <w:t>uv run pytest -q</w:t>
      </w:r>
    </w:p>
    <w:p>
      <w:r>
        <w:t>uv run python -m nlp.pipeline.evaluate_week7</w:t>
      </w:r>
    </w:p>
    <w:p>
      <w:r>
        <w:t>The test suite covers dataset checks, NLP components, API validation, file</w:t>
      </w:r>
    </w:p>
    <w:p>
      <w:r>
        <w:t>parsing, partner failure reporting, eligibility rules, explainability,</w:t>
      </w:r>
    </w:p>
    <w:p>
      <w:r>
        <w:t>responsible-AI counterfactuals, and UI/API smoke checks. The application is</w:t>
      </w:r>
    </w:p>
    <w:p>
      <w:r>
        <w:t>ready for the final demonstration when the full suite and the Week 7</w:t>
      </w:r>
    </w:p>
    <w:p>
      <w:r>
        <w:t>evaluation exit successfully.</w:t>
      </w:r>
    </w:p>
    <w:p>
      <w:pPr>
        <w:pStyle w:val="Heading1"/>
      </w:pPr>
      <w:r>
        <w:t>6. Known limitations and next steps</w:t>
      </w:r>
    </w:p>
    <w:p>
      <w:pPr>
        <w:pStyle w:val="ListBullet"/>
      </w:pPr>
      <w:r>
        <w:t>The catalogue is for the MPSTME 2026 structures represented in the</w:t>
      </w:r>
    </w:p>
    <w:p>
      <w:r>
        <w:t xml:space="preserve">  repository; it must be rebuilt and reviewed for a new academic year.</w:t>
      </w:r>
    </w:p>
    <w:p>
      <w:pPr>
        <w:pStyle w:val="ListBullet"/>
      </w:pPr>
      <w:r>
        <w:t>Demo syllabi are illustrative and must be replaced with approved syllabi in</w:t>
      </w:r>
    </w:p>
    <w:p>
      <w:r>
        <w:t xml:space="preserve">  production.</w:t>
      </w:r>
    </w:p>
    <w:p>
      <w:pPr>
        <w:pStyle w:val="ListBullet"/>
      </w:pPr>
      <w:r>
        <w:t>English identity text and the covered programmes are the supported scope.</w:t>
      </w:r>
    </w:p>
    <w:p>
      <w:r>
        <w:t xml:space="preserve">  Unknown programmes and missing academic information abstain or request</w:t>
      </w:r>
    </w:p>
    <w:p>
      <w:r>
        <w:t xml:space="preserve">  review rather than being guessed.</w:t>
      </w:r>
    </w:p>
    <w:p>
      <w:pPr>
        <w:pStyle w:val="ListBullet"/>
      </w:pPr>
      <w:r>
        <w:t>Final registration remains with the programme coordinator, including</w:t>
      </w:r>
    </w:p>
    <w:p>
      <w:r>
        <w:t xml:space="preserve">  capacity, timetable, backlog, and new-course approval checks.</w:t>
      </w:r>
    </w:p>
    <w:p>
      <w:pPr>
        <w:jc w:val="center"/>
      </w:pPr>
      <w:r>
        <w:rPr>
          <w:b/>
        </w:rPr>
        <w:br/>
        <w:t>Group 10 · J054, J055, J056, J057, J059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8B1D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333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8B1D2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