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Group 10 - Dataset Documentation</w:t>
      </w:r>
    </w:p>
    <w:p>
      <w:pPr>
        <w:spacing w:after="100"/>
      </w:pPr>
      <w:r>
        <w:t>Group 10  |  Roll No. J054, J055, J056, J057, J059</w:t>
      </w:r>
    </w:p>
    <w:p>
      <w:pPr>
        <w:keepNext/>
      </w:pPr>
      <w:r>
        <w:rPr>
          <w:b/>
          <w:sz w:val="18"/>
        </w:rPr>
        <w:t>Dataset documentation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28"/>
            <w:shd w:val="clear" w:color="auto" w:fill="E7ECF3"/>
          </w:tcPr>
          <w:p>
            <w:r/>
            <w:r>
              <w:rPr>
                <w:b/>
                <w:sz w:val="16"/>
              </w:rPr>
              <w:t>Item (handout section 8)</w:t>
            </w:r>
          </w:p>
        </w:tc>
        <w:tc>
          <w:tcPr>
            <w:tcW w:type="dxa" w:w="7483"/>
            <w:shd w:val="clear" w:color="auto" w:fill="E7ECF3"/>
          </w:tcPr>
          <w:p>
            <w:r/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1. Source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6"/>
              </w:rPr>
              <w:t>66 official, publicly available NMIMS sources (nmims.edu / engineering.nmims.edu pages, MPSTME Student Resource Book 2026, circulars, academic calendars, forms, FAQs; 28 PDFs). Out-of-scope class: CLINC150 (public research dataset of real user queries). Elective advisor: MPSTME programme structures (Student Resource Book 2026) and 15 illustrative syllabi written by the group in the MPSTME course-outline format.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2. Size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6"/>
              </w:rPr>
              <w:t>269 verified facts; 5,863 labelled queries (1,973 core + 3,890 rule-generated rewordings); 727 knowledge-base passages; 6,800 entity spans (silver) and a gold set of 120 questions / 245 spans; 96-query challenge set; programme structures: 24 programmes, 1,474 course rows, 191 elective slots; 23 labelled elective cases.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3. Format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6"/>
              </w:rPr>
              <w:t>CSV in data/final/ (queries with intent, sub-intent, department, documents, next action, entities as JSON, source URL, fact ids, group id); YAML for facts, queries, gold NER and challenge sets (data/annotations/); knowledge base CSV with source URL, page and fact ids.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4. Labels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6"/>
              </w:rPr>
              <w:t>12 intents + out_of_scope, 95 sub-intents, department, required documents, next action, ambiguity and multi-intent flags, source status (verified / unverified); 28 entity types; elective cases: expected status per syllabus and expected course.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5. Split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6"/>
              </w:rPr>
              <w:t>Group-aware 70/15/15 split, stratified by sub-intent; a question and its rewordings never cross splits. Train 3,953, validation 965, test 945 (core 316). Elective cases: 10 development, 13 held out.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6. Preprocessing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6"/>
              </w:rPr>
              <w:t>HTML main-text extraction, PDF text per page, OCR for scanned pages; chunking; normalisation; de-duplication; rule-generated rewordings (casual, abbreviation, typo, formal, polite, Hinglish); rule-based entity labels.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7. Quality issues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6"/>
              </w:rPr>
              <w:t>Questions are written from official facts, not collected from students; entity training labels are silver (rules); some PDFs needed OCR; 7 of 166 programme-semesters have rows missing from PDF extraction; sources can change each year (14 contradictions between sources are documented). 19 automatic checks pass.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8. Privacy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6"/>
              </w:rPr>
              <w:t>No student data was collected or used. Facts and passages come from public institutional documents. Example roll numbers / SAP IDs in queries are made up. The API is stateless and stores nothing.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9. Licensing / usage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6"/>
              </w:rPr>
              <w:t>NMIMS documents are publicly available; copyright remains with SVKM's NMIMS. They are used for non-commercial coursework; the raw downloaded files are not redistributed (data/sources is git-ignored), only short cited excerpts with source URLs. CLINC150 is published under CC BY 3.0. Models: BGE-small (MIT), MiniLM and the ms-marco cross-encoder (Apache 2.0), Qwen2.5-1.5B-Instruct (Apache 2.0). The illustrative syllabi are the group's own.</w:t>
            </w:r>
          </w:p>
        </w:tc>
      </w:tr>
    </w:tbl>
    <w:p>
      <w:pPr>
        <w:spacing w:after="40"/>
      </w:pPr>
    </w:p>
    <w:p>
      <w:pPr>
        <w:spacing w:after="100"/>
      </w:pPr>
      <w:r>
        <w:t>Rebuild: python -m dataset.phase1_sources; python -m dataset.phase2_annotate; python -m dataset.phase3_expand; python -m dataset.phase4_validate; python -m nlp.electives.catalog. Quality report: reports/dataset/dataset_quality_report.md.</w:t>
      </w:r>
    </w:p>
    <w:sectPr w:rsidR="00FC693F" w:rsidRPr="0006063C" w:rsidSect="00034616">
      <w:footerReference w:type="default" r:id="rId9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