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200"/>
        <w:jc w:val="center"/>
        <w:rPr/>
      </w:pPr>
      <w:r>
        <w:rPr>
          <w:b/>
          <w:bCs/>
          <w:sz w:val="52"/>
          <w:szCs w:val="52"/>
        </w:rPr>
        <w:t>KAN: Kolmogorov–Arnold Networks</w:t>
      </w:r>
    </w:p>
    <w:p>
      <w:pPr>
        <w:pStyle w:val="Normal"/>
        <w:spacing w:before="0" w:after="200"/>
        <w:jc w:val="center"/>
        <w:rPr/>
      </w:pPr>
      <w:r>
        <w:rPr>
          <w:sz w:val="30"/>
          <w:szCs w:val="30"/>
        </w:rPr>
        <w:t>Paper Review and From-Scratch Re-Implementation Report</w:t>
      </w:r>
    </w:p>
    <w:p>
      <w:pPr>
        <w:pStyle w:val="Normal"/>
        <w:spacing w:before="0" w:after="100"/>
        <w:jc w:val="center"/>
        <w:rPr/>
      </w:pPr>
      <w:r>
        <w:rPr>
          <w:sz w:val="22"/>
          <w:szCs w:val="22"/>
        </w:rPr>
        <w:t>Paper: Z. Liu, Y. Wang, S. Vaidya, F. Ruehle, J. Halverson, M. Soljačić, T. Y. Hou, M. Tegmark</w:t>
      </w:r>
    </w:p>
    <w:p>
      <w:pPr>
        <w:pStyle w:val="Normal"/>
        <w:spacing w:before="0" w:after="100"/>
        <w:jc w:val="center"/>
        <w:rPr/>
      </w:pPr>
      <w:r>
        <w:rPr>
          <w:sz w:val="22"/>
          <w:szCs w:val="22"/>
        </w:rPr>
        <w:t>ICLR 2025 · arXiv:2404.19756v5</w:t>
      </w:r>
    </w:p>
    <w:p>
      <w:pPr>
        <w:pStyle w:val="Normal"/>
        <w:jc w:val="center"/>
        <w:rPr/>
      </w:pPr>
      <w:r>
        <w:rPr>
          <w:sz w:val="22"/>
          <w:szCs w:val="22"/>
        </w:rPr>
        <w:t>Student name / course / date: ____________________</w:t>
      </w:r>
    </w:p>
    <w:p>
      <w:pPr>
        <w:pStyle w:val="Normal"/>
        <w:rPr/>
      </w:pPr>
      <w:r>
        <w:rPr/>
      </w:r>
      <w:r>
        <w:br w:type="page"/>
      </w:r>
    </w:p>
    <w:p>
      <w:pPr>
        <w:pStyle w:val="Heading1"/>
        <w:spacing w:before="0" w:after="140"/>
        <w:rPr/>
      </w:pPr>
      <w:r>
        <w:rPr/>
        <w:t>1. Executive Summary</w:t>
      </w:r>
    </w:p>
    <w:p>
      <w:pPr>
        <w:pStyle w:val="Normal"/>
        <w:spacing w:lineRule="exact" w:line="276" w:before="0" w:after="120"/>
        <w:rPr/>
      </w:pPr>
      <w:r>
        <w:rPr/>
        <w:t>Multi-layer perceptrons (MLPs) place fixed activation functions on nodes and learn linear weights on edges. Kolmogorov–Arnold Networks (KANs) invert this design: every edge carries a learnable univariate function, parametrised as a B-spline, and nodes simply sum their inputs. The paper argues that this single change yields (i) better accuracy per parameter on small-scale scientific tasks, (ii) faster theoretical neural scaling exponents (α = k+1 = 4 for cubic splines), and (iii) networks that can be visualised, pruned and converted into closed-form symbolic formulas, making them useful “collaborators” for scientists.</w:t>
      </w:r>
    </w:p>
    <w:p>
      <w:pPr>
        <w:pStyle w:val="Normal"/>
        <w:spacing w:lineRule="exact" w:line="276" w:before="0" w:after="120"/>
        <w:rPr/>
      </w:pPr>
      <w:r>
        <w:rPr/>
        <w:t>This report (a) explains the paper’s mathematics and methods, (b) describes a from-scratch PyTorch implementation written for this assignment, (c) reports the experiments I actually ran, including where my results do and do not match the paper, and (d) summarises the paper’s scientific applications (knot theory and Anderson localization), which I did not re-run because the datasets and simulators are not available.</w:t>
      </w:r>
    </w:p>
    <w:p>
      <w:pPr>
        <w:pStyle w:val="Normal"/>
        <w:spacing w:lineRule="exact" w:line="276" w:before="0" w:after="120"/>
        <w:rPr/>
      </w:pPr>
      <w:r>
        <w:rPr>
          <w:b/>
          <w:bCs/>
        </w:rPr>
        <w:t xml:space="preserve">Headline findings of my reproduction: </w:t>
      </w:r>
      <w:r>
        <w:rPr/>
        <w:t>a pruned [2,1,1] KAN recovered the closed form of exp(sin(πx)+y²) from data; a width-10 KAN with 300 parameters beat a 20,601-parameter MLP on a Poisson PINN task; a spline-only KAN showed no catastrophic forgetting while an MLP did. However, I did not reproduce the clean G⁻⁴ grid-size scaling, and on one toy function a depth-3 MLP out-performed my KAN once parameter counts exceeded about 100. These caveats are discussed in Section 7.</w:t>
      </w:r>
    </w:p>
    <w:p>
      <w:pPr>
        <w:pStyle w:val="Heading1"/>
        <w:rPr/>
      </w:pPr>
      <w:r>
        <w:rPr/>
        <w:t>2. Background and Motivation</w:t>
      </w:r>
    </w:p>
    <w:p>
      <w:pPr>
        <w:pStyle w:val="Heading2"/>
        <w:rPr/>
      </w:pPr>
      <w:r>
        <w:rPr/>
        <w:t>2.1 MLPs and the universal approximation theorem</w:t>
      </w:r>
    </w:p>
    <w:p>
      <w:pPr>
        <w:pStyle w:val="Normal"/>
        <w:spacing w:lineRule="exact" w:line="276" w:before="0" w:after="120"/>
        <w:rPr/>
      </w:pPr>
      <w:r>
        <w:rPr/>
        <w:t>MLPs are justified by the universal approximation theorem: a two-layer network with enough neurons, f(x) ≈ Σ aᵢ σ(wᵢ·x + bᵢ), can approximate any continuous function. The theorem gives no bound on how the required width N(ε) scales with ε or the input dimension d, and in some cases N grows exponentially with d (the curse of dimensionality, COD). MLPs also dominate parameter counts in transformers and are hard to interpret without post-hoc tools.</w:t>
      </w:r>
    </w:p>
    <w:p>
      <w:pPr>
        <w:pStyle w:val="Heading2"/>
        <w:rPr/>
      </w:pPr>
      <w:r>
        <w:rPr/>
        <w:t>2.2 The Kolmogorov–Arnold representation theorem</w:t>
      </w:r>
    </w:p>
    <w:p>
      <w:pPr>
        <w:pStyle w:val="Normal"/>
        <w:spacing w:lineRule="exact" w:line="276" w:before="0" w:after="120"/>
        <w:rPr/>
      </w:pPr>
      <w:r>
        <w:rPr/>
        <w:t>Kolmogorov and Arnold showed that any smooth multivariate function f : [0,1]ⁿ → ℝ can be written using only univariate functions and addition:</w:t>
      </w:r>
    </w:p>
    <w:p>
      <w:pPr>
        <w:pStyle w:val="Normal"/>
        <w:spacing w:before="60" w:after="120"/>
        <w:jc w:val="center"/>
        <w:rPr/>
      </w:pPr>
      <w:r>
        <w:rPr>
          <w:rFonts w:eastAsia="Cambria Math" w:cs="Cambria Math" w:ascii="Cambria Math" w:hAnsi="Cambria Math"/>
          <w:i/>
          <w:iCs/>
        </w:rPr>
        <w:t>f(x) = Σ_{q=1}^{2n+1} Φ_q( Σ_{p=1}^{n} φ_{q,p}(x_p) )          (1)</w:t>
      </w:r>
    </w:p>
    <w:p>
      <w:pPr>
        <w:pStyle w:val="Normal"/>
        <w:spacing w:lineRule="exact" w:line="276" w:before="0" w:after="120"/>
        <w:rPr/>
      </w:pPr>
      <w:r>
        <w:rPr/>
        <w:t>In the machine-learning literature the theorem was long regarded as “theoretically sound but practically useless” because the inner functions can be non-smooth or even fractal. The authors’ response is threefold: do not stick to the depth-2, width-(2n+1) form of Eq. (1); generalise to arbitrary widths and depths; and note that functions arising in science are typically smooth with sparse compositional structure, so smooth representations are likely to exist in practice.</w:t>
      </w:r>
    </w:p>
    <w:p>
      <w:pPr>
        <w:pStyle w:val="Heading2"/>
        <w:rPr/>
      </w:pPr>
      <w:r>
        <w:rPr/>
        <w:t>2.3 Splines versus MLPs</w:t>
      </w:r>
    </w:p>
    <w:p>
      <w:pPr>
        <w:pStyle w:val="Normal"/>
        <w:spacing w:lineRule="exact" w:line="276" w:before="0" w:after="120"/>
        <w:rPr/>
      </w:pPr>
      <w:r>
        <w:rPr/>
        <w:t>The paper views KANs as combining the strengths of two model families. Splines are very accurate for low-dimensional functions and can be refined locally, but suffer badly from COD because they cannot exploit compositional structure. MLPs learn compositional structure (“external” degrees of freedom) but are poor at optimising univariate functions (“internal” degrees of freedom). A KAN has MLP-like connectivity on the outside and splines on the inside, so it can learn both.</w:t>
      </w:r>
    </w:p>
    <w:p>
      <w:pPr>
        <w:pStyle w:val="Normal"/>
        <w:keepNext w:val="true"/>
        <w:jc w:val="center"/>
        <w:rPr/>
      </w:pPr>
      <w:r>
        <w:rPr/>
        <w:drawing>
          <wp:inline distT="0" distB="0" distL="0" distR="0">
            <wp:extent cx="5715000" cy="1600200"/>
            <wp:effectExtent l="0" t="0" r="0" b="0"/>
            <wp:docPr id="1" name="fig_architecture.png" descr="Figure 1. MLP vs. KAN (schematic, drawn for this report) and a cubic B-spline basis forming one learnable edge function.&#10;Figure 1. MLP vs. KAN (schematic, drawn for this report) and a cubic B-spline basis forming one learnable edge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_architecture.png" descr="Figure 1. MLP vs. KAN (schematic, drawn for this report) and a cubic B-spline basis forming one learnable edge function.&#10;Figure 1. MLP vs. KAN (schematic, drawn for this report) and a cubic B-spline basis forming one learnable edge function."/>
                    <pic:cNvPicPr>
                      <a:picLocks noChangeAspect="1" noChangeArrowheads="1"/>
                    </pic:cNvPicPr>
                  </pic:nvPicPr>
                  <pic:blipFill>
                    <a:blip r:embed="rId2"/>
                    <a:stretch>
                      <a:fillRect/>
                    </a:stretch>
                  </pic:blipFill>
                  <pic:spPr bwMode="auto">
                    <a:xfrm>
                      <a:off x="0" y="0"/>
                      <a:ext cx="5715000" cy="1600200"/>
                    </a:xfrm>
                    <a:prstGeom prst="rect">
                      <a:avLst/>
                    </a:prstGeom>
                  </pic:spPr>
                </pic:pic>
              </a:graphicData>
            </a:graphic>
          </wp:inline>
        </w:drawing>
      </w:r>
    </w:p>
    <w:p>
      <w:pPr>
        <w:pStyle w:val="Normal"/>
        <w:spacing w:before="0" w:after="200"/>
        <w:jc w:val="center"/>
        <w:rPr/>
      </w:pPr>
      <w:r>
        <w:rPr>
          <w:i/>
          <w:iCs/>
          <w:sz w:val="20"/>
          <w:szCs w:val="20"/>
        </w:rPr>
        <w:t>Figure 1. MLP vs. KAN (schematic, drawn for this report) and a cubic B-spline basis forming one learnable edge function.</w:t>
      </w:r>
    </w:p>
    <w:p>
      <w:pPr>
        <w:pStyle w:val="Heading1"/>
        <w:rPr/>
      </w:pPr>
      <w:r>
        <w:rPr/>
        <w:t>3. The KAN Architecture</w:t>
      </w:r>
    </w:p>
    <w:p>
      <w:pPr>
        <w:pStyle w:val="Heading2"/>
        <w:rPr/>
      </w:pPr>
      <w:r>
        <w:rPr/>
        <w:t>3.1 KAN layers</w:t>
      </w:r>
    </w:p>
    <w:p>
      <w:pPr>
        <w:pStyle w:val="Normal"/>
        <w:spacing w:lineRule="exact" w:line="276" w:before="0" w:after="120"/>
        <w:rPr/>
      </w:pPr>
      <w:r>
        <w:rPr/>
        <w:t>A KAN layer with n_in inputs and n_out outputs is a matrix of univariate functions Φ = {φ_{q,p}}. The activation of node (l+1, j) is the sum of its incoming post-activations, and a deep KAN is a composition of layers:</w:t>
      </w:r>
    </w:p>
    <w:p>
      <w:pPr>
        <w:pStyle w:val="Normal"/>
        <w:spacing w:before="60" w:after="120"/>
        <w:jc w:val="center"/>
        <w:rPr/>
      </w:pPr>
      <w:r>
        <w:rPr>
          <w:rFonts w:eastAsia="Cambria Math" w:cs="Cambria Math" w:ascii="Cambria Math" w:hAnsi="Cambria Math"/>
          <w:i/>
          <w:iCs/>
        </w:rPr>
        <w:t>x_{l+1,j} = Σ_i φ_{l,j,i}(x_{l,i}),        KAN(x) = (Φ_{L−1} ∘ … ∘ Φ_1 ∘ Φ_0)(x)          (2)</w:t>
      </w:r>
    </w:p>
    <w:p>
      <w:pPr>
        <w:pStyle w:val="Normal"/>
        <w:spacing w:lineRule="exact" w:line="276" w:before="0" w:after="120"/>
        <w:rPr/>
      </w:pPr>
      <w:r>
        <w:rPr/>
        <w:t>The original theorem corresponds to a two-layer KAN of shape [n, 2n+1, 1]; deeper KANs are obtained simply by stacking more layers. All operations are differentiable, so KANs are trained with ordinary back-propagation. A comparison with an MLP, MLP(x) = (W_{L−1} ∘ σ ∘ … ∘ σ ∘ W_0)(x), shows that MLPs separate linear maps W from non-linearities σ while KANs fuse them in Φ.</w:t>
      </w:r>
    </w:p>
    <w:p>
      <w:pPr>
        <w:pStyle w:val="Heading2"/>
        <w:rPr/>
      </w:pPr>
      <w:r>
        <w:rPr/>
        <w:t>3.2 Parametrisation of each edge function</w:t>
      </w:r>
    </w:p>
    <w:p>
      <w:pPr>
        <w:pStyle w:val="Normal"/>
        <w:spacing w:before="60" w:after="120"/>
        <w:jc w:val="center"/>
        <w:rPr/>
      </w:pPr>
      <w:r>
        <w:rPr>
          <w:rFonts w:eastAsia="Cambria Math" w:cs="Cambria Math" w:ascii="Cambria Math" w:hAnsi="Cambria Math"/>
          <w:i/>
          <w:iCs/>
        </w:rPr>
        <w:t>φ(x) = w_b · silu(x) + w_s · Σ_i c_i B_i(x)          (3)</w:t>
      </w:r>
    </w:p>
    <w:p>
      <w:pPr>
        <w:pStyle w:val="Normal"/>
        <w:spacing w:lineRule="exact" w:line="276" w:before="0" w:after="120"/>
        <w:rPr/>
      </w:pPr>
      <w:r>
        <w:rPr/>
        <w:t>The first term is a residual “base” function (like a skip connection), and the second is a linear combination of cubic (k = 3) B-spline basis functions on a grid of G intervals, giving G + k coefficients per edge. The paper lists three practical tricks that make KANs trainable: (1) the residual base function, (2) initialisation with spline(x) ≈ 0 (coefficients drawn from N(0, 0.1²)) and Xavier initialisation for w_b, and (3) updating spline grids on the fly from the observed input range so that activations do not leave the grid.</w:t>
      </w:r>
    </w:p>
    <w:p>
      <w:pPr>
        <w:pStyle w:val="Heading2"/>
        <w:rPr/>
      </w:pPr>
      <w:r>
        <w:rPr/>
        <w:t>3.3 Parameter count</w:t>
      </w:r>
    </w:p>
    <w:p>
      <w:pPr>
        <w:pStyle w:val="Normal"/>
        <w:spacing w:lineRule="exact" w:line="276" w:before="0" w:after="120"/>
        <w:rPr/>
      </w:pPr>
      <w:r>
        <w:rPr/>
        <w:t>For depth L, width N, grid G and spline order k, a KAN has O(N²L(G+k)) parameters versus O(N²L) for an MLP. KANs appear more expensive, but the paper argues they usually need a much smaller N and generalise better. For a 1-D problem, N = L = 1, a KAN is simply a spline.</w:t>
      </w:r>
    </w:p>
    <w:p>
      <w:pPr>
        <w:pStyle w:val="Heading1"/>
        <w:rPr/>
      </w:pPr>
      <w:r>
        <w:rPr/>
        <w:t>4. Theory: Approximation and Scaling</w:t>
      </w:r>
    </w:p>
    <w:p>
      <w:pPr>
        <w:pStyle w:val="Normal"/>
        <w:spacing w:lineRule="exact" w:line="276" w:before="0" w:after="120"/>
        <w:rPr/>
      </w:pPr>
      <w:r>
        <w:rPr>
          <w:b/>
          <w:bCs/>
        </w:rPr>
        <w:t xml:space="preserve">Theorem 2.1 (KAT approximation bound). </w:t>
      </w:r>
      <w:r>
        <w:rPr/>
        <w:t>If f = (Φ_{L−1} ∘ … ∘ Φ_0)x with every Φ_{l,i,j} being (k+1)-times continuously differentiable, there exists a constant C (depending on f and its representation) and k-th order B-spline functions such that for 0 ≤ m ≤ k:</w:t>
      </w:r>
    </w:p>
    <w:p>
      <w:pPr>
        <w:pStyle w:val="Normal"/>
        <w:spacing w:before="60" w:after="120"/>
        <w:jc w:val="center"/>
        <w:rPr/>
      </w:pPr>
      <w:r>
        <w:rPr>
          <w:rFonts w:eastAsia="Cambria Math" w:cs="Cambria Math" w:ascii="Cambria Math" w:hAnsi="Cambria Math"/>
          <w:i/>
          <w:iCs/>
        </w:rPr>
        <w:t xml:space="preserve">‖ </w:t>
      </w:r>
      <w:r>
        <w:rPr>
          <w:rFonts w:eastAsia="Cambria Math" w:cs="Cambria Math" w:ascii="Cambria Math" w:hAnsi="Cambria Math"/>
          <w:i/>
          <w:iCs/>
        </w:rPr>
        <w:t>f − (Φ^G_{L−1} ∘ … ∘ Φ^G_0)x ‖_{C^m} ≤ C · G^{−k−1+m}          (4)</w:t>
      </w:r>
    </w:p>
    <w:p>
      <w:pPr>
        <w:pStyle w:val="Normal"/>
        <w:spacing w:lineRule="exact" w:line="276" w:before="0" w:after="120"/>
        <w:rPr/>
      </w:pPr>
      <w:r>
        <w:rPr/>
        <w:t>The proof applies classical 1-D B-spline theory to each univariate function and telescopes the residuals R_l across layers. For m = 0 this bounds the RMSE, giving a scaling exponent α = k+1 independent of the input dimension, hence the claim of “beating the curse of dimensionality”. The constant C may still depend on dimension, which the authors leave for future work.</w:t>
      </w:r>
    </w:p>
    <w:p>
      <w:pPr>
        <w:pStyle w:val="Normal"/>
        <w:spacing w:lineRule="exact" w:line="276" w:before="0" w:after="120"/>
        <w:rPr/>
      </w:pPr>
      <w:r>
        <w:rPr/>
        <w:t>Neural scaling laws are written ℓ ∝ N^{−α}, where ℓ is test RMSE and N is the number of parameters. The paper compares four predictions: Sharma &amp; Kaplan give α = (k+1)/d for data on a d-dimensional manifold; Michaud et al. give α = (k+1)/2 for computational graphs with maximum arity 2; Poggio et al. give α = m/2 for compositionally sparse W^m functions; and KANs predict α = k+1, i.e. 4 for cubic splines — the largest of the group. It is important to note that this applies only when a smooth Kolmogorov–Arnold representation exists and is found by training.</w:t>
      </w:r>
    </w:p>
    <w:p>
      <w:pPr>
        <w:pStyle w:val="Heading1"/>
        <w:rPr/>
      </w:pPr>
      <w:r>
        <w:rPr/>
        <w:t>5. Making KANs Accurate and Interpretable</w:t>
      </w:r>
    </w:p>
    <w:p>
      <w:pPr>
        <w:pStyle w:val="Heading2"/>
        <w:rPr/>
      </w:pPr>
      <w:r>
        <w:rPr/>
        <w:t>5.1 Grid extension</w:t>
      </w:r>
    </w:p>
    <w:p>
      <w:pPr>
        <w:pStyle w:val="Normal"/>
        <w:spacing w:lineRule="exact" w:line="276" w:before="0" w:after="120"/>
        <w:rPr/>
      </w:pPr>
      <w:r>
        <w:rPr/>
        <w:t>Because each activation is a spline, one can train a small KAN and then refine every grid without retraining from scratch. For a coarse spline with G₁ intervals and a finer grid with G₂ intervals, the new coefficients c′ are initialised by least squares:</w:t>
      </w:r>
    </w:p>
    <w:p>
      <w:pPr>
        <w:pStyle w:val="Normal"/>
        <w:spacing w:before="60" w:after="120"/>
        <w:jc w:val="center"/>
        <w:rPr/>
      </w:pPr>
      <w:r>
        <w:rPr>
          <w:rFonts w:eastAsia="Cambria Math" w:cs="Cambria Math" w:ascii="Cambria Math" w:hAnsi="Cambria Math"/>
          <w:i/>
          <w:iCs/>
        </w:rPr>
        <w:t>{c′_j} = argmin  E_x [ ( Σ_j c′_j B′_j(x) − Σ_i c_i B_i(x) )² ]          (5)</w:t>
      </w:r>
    </w:p>
    <w:p>
      <w:pPr>
        <w:pStyle w:val="Normal"/>
        <w:spacing w:lineRule="exact" w:line="276" w:before="0" w:after="120"/>
        <w:rPr/>
      </w:pPr>
      <w:r>
        <w:rPr/>
        <w:t>MLPs have no analogue of this “fine-graining”. The paper reports staircase-like loss curves: loss drops after each extension and then plateaus.</w:t>
      </w:r>
    </w:p>
    <w:p>
      <w:pPr>
        <w:pStyle w:val="Heading2"/>
        <w:rPr/>
      </w:pPr>
      <w:r>
        <w:rPr/>
        <w:t>5.2 Sparsification, pruning and symbolification</w:t>
      </w:r>
    </w:p>
    <w:p>
      <w:pPr>
        <w:pStyle w:val="ListParagraph"/>
        <w:numPr>
          <w:ilvl w:val="0"/>
          <w:numId w:val="4"/>
        </w:numPr>
        <w:spacing w:before="0" w:after="60"/>
        <w:rPr/>
      </w:pPr>
      <w:r>
        <w:rPr>
          <w:b/>
          <w:bCs/>
        </w:rPr>
        <w:t xml:space="preserve">Sparsification. </w:t>
      </w:r>
      <w:r>
        <w:rPr/>
        <w:t>Linear weights no longer exist, so the L1 norm of an activation is its mean magnitude over the batch, |φ|₁ = (1/N_p) Σ_s |φ(x⁽ˢ⁾)|. L1 alone is insufficient, so an entropy term S(Φ) = −Σ (|φᵢⱼ|₁/|Φ|₁) log(|φᵢⱼ|₁/|Φ|₁) is added: ℓ_total = ℓ_pred + λ(μ₁ Σ|Φ_l|₁ + μ₂ Σ S(Φ_l)).</w:t>
      </w:r>
    </w:p>
    <w:p>
      <w:pPr>
        <w:pStyle w:val="ListParagraph"/>
        <w:numPr>
          <w:ilvl w:val="0"/>
          <w:numId w:val="1"/>
        </w:numPr>
        <w:spacing w:before="0" w:after="60"/>
        <w:rPr/>
      </w:pPr>
      <w:r>
        <w:rPr>
          <w:b/>
          <w:bCs/>
        </w:rPr>
        <w:t xml:space="preserve">Pruning. </w:t>
      </w:r>
      <w:r>
        <w:rPr/>
        <w:t>A node is kept only if both its incoming score I = max_k |φ_{l−1,i,k}|₁ and outgoing score O = max_j |φ_{l+1,j,i}|₁ exceed θ = 10⁻².</w:t>
      </w:r>
    </w:p>
    <w:p>
      <w:pPr>
        <w:pStyle w:val="ListParagraph"/>
        <w:numPr>
          <w:ilvl w:val="0"/>
          <w:numId w:val="1"/>
        </w:numPr>
        <w:spacing w:before="0" w:after="60"/>
        <w:rPr/>
      </w:pPr>
      <w:r>
        <w:rPr>
          <w:b/>
          <w:bCs/>
        </w:rPr>
        <w:t xml:space="preserve">Symbolification. </w:t>
      </w:r>
      <w:r>
        <w:rPr/>
        <w:t>Users can set an edge to a symbolic function f. Because pre- and post-activations may be shifted and scaled, the library function is fitted as y ≈ c·f(ax+b)+d by grid search over (a, b) and linear regression for (c, d).</w:t>
      </w:r>
    </w:p>
    <w:p>
      <w:pPr>
        <w:pStyle w:val="Normal"/>
        <w:spacing w:lineRule="exact" w:line="276" w:before="0" w:after="120"/>
        <w:rPr/>
      </w:pPr>
      <w:r>
        <w:rPr/>
        <w:t>The paper presents this as a human-in-the-loop workflow (train with sparsity → prune → guess functions with suggest_symbolic → fix → retrain affine parameters → read the formula with SymPy), and argues it is more robust and debuggable than conventional symbolic regression, which returns only success or failure.</w:t>
      </w:r>
    </w:p>
    <w:p>
      <w:pPr>
        <w:pStyle w:val="Heading1"/>
        <w:rPr/>
      </w:pPr>
      <w:r>
        <w:rPr/>
        <w:t>6. Implementation</w:t>
      </w:r>
    </w:p>
    <w:p>
      <w:pPr>
        <w:pStyle w:val="Normal"/>
        <w:spacing w:lineRule="exact" w:line="276" w:before="0" w:after="120"/>
        <w:rPr/>
      </w:pPr>
      <w:r>
        <w:rPr/>
        <w:t>I implemented KANs from scratch in PyTorch (the official package is pykan; my code shares its design vocabulary but not its source). The deliverable is a small library plus five experiment scripts and unit tests.</w:t>
      </w:r>
    </w:p>
    <w:tbl>
      <w:tblPr>
        <w:tblW w:w="9360" w:type="dxa"/>
        <w:jc w:val="left"/>
        <w:tblInd w:w="0" w:type="dxa"/>
        <w:tblLayout w:type="fixed"/>
        <w:tblCellMar>
          <w:top w:w="60" w:type="dxa"/>
          <w:left w:w="100" w:type="dxa"/>
          <w:bottom w:w="60" w:type="dxa"/>
          <w:right w:w="100" w:type="dxa"/>
        </w:tblCellMar>
      </w:tblPr>
      <w:tblGrid>
        <w:gridCol w:w="2299"/>
        <w:gridCol w:w="7060"/>
      </w:tblGrid>
      <w:tr>
        <w:trPr>
          <w:tblHeader w:val="true"/>
        </w:trPr>
        <w:tc>
          <w:tcPr>
            <w:tcW w:w="2299" w:type="dxa"/>
            <w:tcBorders>
              <w:top w:val="single" w:sz="4" w:space="0" w:color="999999"/>
              <w:left w:val="single" w:sz="4" w:space="0" w:color="999999"/>
              <w:bottom w:val="single" w:sz="4" w:space="0" w:color="999999"/>
              <w:right w:val="single" w:sz="4" w:space="0" w:color="999999"/>
            </w:tcBorders>
            <w:shd w:color="auto" w:fill="1F4E79" w:val="clear"/>
          </w:tcPr>
          <w:p>
            <w:pPr>
              <w:pStyle w:val="Normal"/>
              <w:rPr/>
            </w:pPr>
            <w:r>
              <w:rPr>
                <w:b/>
                <w:bCs/>
                <w:color w:val="FFFFFF"/>
                <w:sz w:val="20"/>
                <w:szCs w:val="20"/>
              </w:rPr>
              <w:t>File</w:t>
            </w:r>
          </w:p>
        </w:tc>
        <w:tc>
          <w:tcPr>
            <w:tcW w:w="7060" w:type="dxa"/>
            <w:tcBorders>
              <w:top w:val="single" w:sz="4" w:space="0" w:color="999999"/>
              <w:left w:val="single" w:sz="4" w:space="0" w:color="999999"/>
              <w:bottom w:val="single" w:sz="4" w:space="0" w:color="999999"/>
              <w:right w:val="single" w:sz="4" w:space="0" w:color="999999"/>
            </w:tcBorders>
            <w:shd w:color="auto" w:fill="1F4E79" w:val="clear"/>
          </w:tcPr>
          <w:p>
            <w:pPr>
              <w:pStyle w:val="Normal"/>
              <w:rPr/>
            </w:pPr>
            <w:r>
              <w:rPr>
                <w:b/>
                <w:bCs/>
                <w:color w:val="FFFFFF"/>
                <w:sz w:val="20"/>
                <w:szCs w:val="20"/>
              </w:rPr>
              <w:t>Contents</w:t>
            </w:r>
          </w:p>
        </w:tc>
      </w:tr>
      <w:tr>
        <w:trPr/>
        <w:tc>
          <w:tcPr>
            <w:tcW w:w="22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kan/layer.py</w:t>
            </w:r>
          </w:p>
        </w:tc>
        <w:tc>
          <w:tcPr>
            <w:tcW w:w="70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KANLayer: Cox–de Boor B-spline basis, Eq. (3) activation, grid update from samples, least-squares grid extension (Eq. 5), per-edge mask for pruning, symbolic edge overrides.</w:t>
            </w:r>
          </w:p>
        </w:tc>
      </w:tr>
      <w:tr>
        <w:trPr/>
        <w:tc>
          <w:tcPr>
            <w:tcW w:w="22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kan/model.py</w:t>
            </w:r>
          </w:p>
        </w:tc>
        <w:tc>
          <w:tcPr>
            <w:tcW w:w="70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KAN class for shape [n0,…,nL]; L1 + entropy regulariser (Eqs. 2.17–2.20); pruning (Eq. 2.21); fix_symbolic / suggest_symbolic / auto_symbolic / symbolic_formula (SymPy); MLP baseline.</w:t>
            </w:r>
          </w:p>
        </w:tc>
      </w:tr>
      <w:tr>
        <w:trPr/>
        <w:tc>
          <w:tcPr>
            <w:tcW w:w="22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kan/symbolic.py</w:t>
            </w:r>
          </w:p>
        </w:tc>
        <w:tc>
          <w:tcPr>
            <w:tcW w:w="70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Symbolic library (x, x², x³, sin, cos, exp, log, tanh, sqrt, |x|) and the affine grid-search + linear-regression fitter.</w:t>
            </w:r>
          </w:p>
        </w:tc>
      </w:tr>
      <w:tr>
        <w:trPr/>
        <w:tc>
          <w:tcPr>
            <w:tcW w:w="22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kan/train.py</w:t>
            </w:r>
          </w:p>
        </w:tc>
        <w:tc>
          <w:tcPr>
            <w:tcW w:w="70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LBFGS (strong-Wolfe) or Adam training loop, RMSE helpers, synthetic-data generator.</w:t>
            </w:r>
          </w:p>
        </w:tc>
      </w:tr>
      <w:tr>
        <w:trPr/>
        <w:tc>
          <w:tcPr>
            <w:tcW w:w="22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experiments/exp1–exp5</w:t>
            </w:r>
          </w:p>
        </w:tc>
        <w:tc>
          <w:tcPr>
            <w:tcW w:w="70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Grid extension; KAN vs MLP scaling; symbolic regression workflow; continual learning; Poisson PINN.</w:t>
            </w:r>
          </w:p>
        </w:tc>
      </w:tr>
      <w:tr>
        <w:trPr/>
        <w:tc>
          <w:tcPr>
            <w:tcW w:w="22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tests/test_kan.py</w:t>
            </w:r>
          </w:p>
        </w:tc>
        <w:tc>
          <w:tcPr>
            <w:tcW w:w="70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Unit tests: B-splines sum to 1; parameter count formula; grid extension preserves a function on nested grids; gradients flow.</w:t>
            </w:r>
          </w:p>
        </w:tc>
      </w:tr>
    </w:tbl>
    <w:p>
      <w:pPr>
        <w:pStyle w:val="Normal"/>
        <w:spacing w:before="0" w:after="160"/>
        <w:rPr/>
      </w:pPr>
      <w:r>
        <w:rPr/>
      </w:r>
    </w:p>
    <w:p>
      <w:pPr>
        <w:pStyle w:val="Normal"/>
        <w:spacing w:lineRule="exact" w:line="276" w:before="0" w:after="120"/>
        <w:rPr/>
      </w:pPr>
      <w:r>
        <w:rPr>
          <w:b/>
          <w:bCs/>
        </w:rPr>
        <w:t xml:space="preserve">Verification. </w:t>
      </w:r>
      <w:r>
        <w:rPr/>
        <w:t>All four unit tests pass. The B-spline basis sums to 1 within 2×10⁻⁷ (partition of unity), the parameter count matches 3·4·(G+k)+4·1·(G+k)+2·(3·4+4·1) for a [3,4,1] KAN, and grid extension from G=5 to G=10 reproduces a random spline to within 10⁻⁶.</w:t>
      </w:r>
    </w:p>
    <w:p>
      <w:pPr>
        <w:pStyle w:val="Normal"/>
        <w:spacing w:lineRule="exact" w:line="276" w:before="0" w:after="120"/>
        <w:rPr/>
      </w:pPr>
      <w:r>
        <w:rPr>
          <w:b/>
          <w:bCs/>
        </w:rPr>
        <w:t xml:space="preserve">Deviations from the paper. </w:t>
      </w:r>
      <w:r>
        <w:rPr/>
        <w:t>(i) The grid update blends the sample-quantile grid with a uniform grid. (ii) Grid extension is a one-shot least-squares fit; between non-nested grids (e.g. 3→5) it is only approximate, and in a multi-layer KAN these errors compound, so the loss jumps after each extension (visible in Figure 2). (iii) I keep the best-train-loss LBFGS iterate for each stage to guard against occasional divergence. (iv) Experiments use far fewer LBFGS steps and seeds than the paper because they ran on a single CPU core.</w:t>
      </w:r>
    </w:p>
    <w:p>
      <w:pPr>
        <w:pStyle w:val="Heading1"/>
        <w:rPr/>
      </w:pPr>
      <w:r>
        <w:rPr/>
        <w:t>7. Experiments and Results</w:t>
      </w:r>
    </w:p>
    <w:p>
      <w:pPr>
        <w:pStyle w:val="Normal"/>
        <w:spacing w:lineRule="exact" w:line="276" w:before="0" w:after="120"/>
        <w:rPr/>
      </w:pPr>
      <w:r>
        <w:rPr/>
        <w:t>All numbers below are from my own runs (float64, CPU, 1,000 training and 1,000 test samples uniform on [−1,1]² unless stated). Each is a single seed, so differences of a factor of two or less should not be over-interpreted.</w:t>
      </w:r>
    </w:p>
    <w:p>
      <w:pPr>
        <w:pStyle w:val="Heading2"/>
        <w:rPr/>
      </w:pPr>
      <w:r>
        <w:rPr/>
        <w:t>7.1 Grid extension (paper Sec. 2.4)</w:t>
      </w:r>
    </w:p>
    <w:p>
      <w:pPr>
        <w:pStyle w:val="Normal"/>
        <w:keepNext w:val="true"/>
        <w:jc w:val="center"/>
        <w:rPr/>
      </w:pPr>
      <w:r>
        <w:rPr/>
        <w:drawing>
          <wp:inline distT="0" distB="0" distL="0" distR="0">
            <wp:extent cx="5715000" cy="1524000"/>
            <wp:effectExtent l="0" t="0" r="0" b="0"/>
            <wp:docPr id="2" name="fig_grid_extension.png" descr="Figure 2. Grid extension on f(x,y)=exp(sin(πx)+y²). Left: [2,5,1] KAN; middle: [2,1,1] KAN (120 LBFGS steps per grid); right: test RMSE vs grid size.&#10;Figure 2. Grid extension on f(x,y)=exp(sin(πx)+y²). Left: [2,5,1] KAN; middle: [2,1,1] KAN (120 LBFGS steps per grid); right: test RMSE vs grid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grid_extension.png" descr="Figure 2. Grid extension on f(x,y)=exp(sin(πx)+y²). Left: [2,5,1] KAN; middle: [2,1,1] KAN (120 LBFGS steps per grid); right: test RMSE vs grid size.&#10;Figure 2. Grid extension on f(x,y)=exp(sin(πx)+y²). Left: [2,5,1] KAN; middle: [2,1,1] KAN (120 LBFGS steps per grid); right: test RMSE vs grid size."/>
                    <pic:cNvPicPr>
                      <a:picLocks noChangeAspect="1" noChangeArrowheads="1"/>
                    </pic:cNvPicPr>
                  </pic:nvPicPr>
                  <pic:blipFill>
                    <a:blip r:embed="rId3"/>
                    <a:stretch>
                      <a:fillRect/>
                    </a:stretch>
                  </pic:blipFill>
                  <pic:spPr bwMode="auto">
                    <a:xfrm>
                      <a:off x="0" y="0"/>
                      <a:ext cx="5715000" cy="1524000"/>
                    </a:xfrm>
                    <a:prstGeom prst="rect">
                      <a:avLst/>
                    </a:prstGeom>
                  </pic:spPr>
                </pic:pic>
              </a:graphicData>
            </a:graphic>
          </wp:inline>
        </w:drawing>
      </w:r>
    </w:p>
    <w:p>
      <w:pPr>
        <w:pStyle w:val="Normal"/>
        <w:spacing w:before="0" w:after="200"/>
        <w:jc w:val="center"/>
        <w:rPr/>
      </w:pPr>
      <w:r>
        <w:rPr>
          <w:i/>
          <w:iCs/>
          <w:sz w:val="20"/>
          <w:szCs w:val="20"/>
        </w:rPr>
        <w:t>Figure 2. Grid extension on f(x,y)=exp(sin(πx)+y²). Left: [2,5,1] KAN; middle: [2,1,1] KAN (120 LBFGS steps per grid); right: test RMSE vs grid size.</w:t>
      </w:r>
    </w:p>
    <w:tbl>
      <w:tblPr>
        <w:tblW w:w="9360" w:type="dxa"/>
        <w:jc w:val="left"/>
        <w:tblInd w:w="0" w:type="dxa"/>
        <w:tblLayout w:type="fixed"/>
        <w:tblCellMar>
          <w:top w:w="60" w:type="dxa"/>
          <w:left w:w="100" w:type="dxa"/>
          <w:bottom w:w="60" w:type="dxa"/>
          <w:right w:w="100" w:type="dxa"/>
        </w:tblCellMar>
      </w:tblPr>
      <w:tblGrid>
        <w:gridCol w:w="1699"/>
        <w:gridCol w:w="1501"/>
        <w:gridCol w:w="1499"/>
        <w:gridCol w:w="1501"/>
        <w:gridCol w:w="1499"/>
        <w:gridCol w:w="1660"/>
      </w:tblGrid>
      <w:tr>
        <w:trPr>
          <w:tblHeader w:val="true"/>
        </w:trPr>
        <w:tc>
          <w:tcPr>
            <w:tcW w:w="1699" w:type="dxa"/>
            <w:tcBorders>
              <w:top w:val="single" w:sz="4" w:space="0" w:color="999999"/>
              <w:left w:val="single" w:sz="4" w:space="0" w:color="999999"/>
              <w:bottom w:val="single" w:sz="4" w:space="0" w:color="999999"/>
              <w:right w:val="single" w:sz="4" w:space="0" w:color="999999"/>
            </w:tcBorders>
            <w:shd w:color="auto" w:fill="1F4E79" w:val="clear"/>
          </w:tcPr>
          <w:p>
            <w:pPr>
              <w:pStyle w:val="Normal"/>
              <w:rPr/>
            </w:pPr>
            <w:r>
              <w:rPr>
                <w:b/>
                <w:bCs/>
                <w:color w:val="FFFFFF"/>
                <w:sz w:val="20"/>
                <w:szCs w:val="20"/>
              </w:rPr>
              <w:t>Test RMSE</w:t>
            </w:r>
          </w:p>
        </w:tc>
        <w:tc>
          <w:tcPr>
            <w:tcW w:w="1501" w:type="dxa"/>
            <w:tcBorders>
              <w:top w:val="single" w:sz="4" w:space="0" w:color="999999"/>
              <w:left w:val="single" w:sz="4" w:space="0" w:color="999999"/>
              <w:bottom w:val="single" w:sz="4" w:space="0" w:color="999999"/>
              <w:right w:val="single" w:sz="4" w:space="0" w:color="999999"/>
            </w:tcBorders>
            <w:shd w:color="auto" w:fill="1F4E79" w:val="clear"/>
          </w:tcPr>
          <w:p>
            <w:pPr>
              <w:pStyle w:val="Normal"/>
              <w:rPr/>
            </w:pPr>
            <w:r>
              <w:rPr>
                <w:b/>
                <w:bCs/>
                <w:color w:val="FFFFFF"/>
                <w:sz w:val="20"/>
                <w:szCs w:val="20"/>
              </w:rPr>
              <w:t>G=3</w:t>
            </w:r>
          </w:p>
        </w:tc>
        <w:tc>
          <w:tcPr>
            <w:tcW w:w="1499" w:type="dxa"/>
            <w:tcBorders>
              <w:top w:val="single" w:sz="4" w:space="0" w:color="999999"/>
              <w:left w:val="single" w:sz="4" w:space="0" w:color="999999"/>
              <w:bottom w:val="single" w:sz="4" w:space="0" w:color="999999"/>
              <w:right w:val="single" w:sz="4" w:space="0" w:color="999999"/>
            </w:tcBorders>
            <w:shd w:color="auto" w:fill="1F4E79" w:val="clear"/>
          </w:tcPr>
          <w:p>
            <w:pPr>
              <w:pStyle w:val="Normal"/>
              <w:rPr/>
            </w:pPr>
            <w:r>
              <w:rPr>
                <w:b/>
                <w:bCs/>
                <w:color w:val="FFFFFF"/>
                <w:sz w:val="20"/>
                <w:szCs w:val="20"/>
              </w:rPr>
              <w:t>G=5</w:t>
            </w:r>
          </w:p>
        </w:tc>
        <w:tc>
          <w:tcPr>
            <w:tcW w:w="1501" w:type="dxa"/>
            <w:tcBorders>
              <w:top w:val="single" w:sz="4" w:space="0" w:color="999999"/>
              <w:left w:val="single" w:sz="4" w:space="0" w:color="999999"/>
              <w:bottom w:val="single" w:sz="4" w:space="0" w:color="999999"/>
              <w:right w:val="single" w:sz="4" w:space="0" w:color="999999"/>
            </w:tcBorders>
            <w:shd w:color="auto" w:fill="1F4E79" w:val="clear"/>
          </w:tcPr>
          <w:p>
            <w:pPr>
              <w:pStyle w:val="Normal"/>
              <w:rPr/>
            </w:pPr>
            <w:r>
              <w:rPr>
                <w:b/>
                <w:bCs/>
                <w:color w:val="FFFFFF"/>
                <w:sz w:val="20"/>
                <w:szCs w:val="20"/>
              </w:rPr>
              <w:t>G=10</w:t>
            </w:r>
          </w:p>
        </w:tc>
        <w:tc>
          <w:tcPr>
            <w:tcW w:w="1499" w:type="dxa"/>
            <w:tcBorders>
              <w:top w:val="single" w:sz="4" w:space="0" w:color="999999"/>
              <w:left w:val="single" w:sz="4" w:space="0" w:color="999999"/>
              <w:bottom w:val="single" w:sz="4" w:space="0" w:color="999999"/>
              <w:right w:val="single" w:sz="4" w:space="0" w:color="999999"/>
            </w:tcBorders>
            <w:shd w:color="auto" w:fill="1F4E79" w:val="clear"/>
          </w:tcPr>
          <w:p>
            <w:pPr>
              <w:pStyle w:val="Normal"/>
              <w:rPr/>
            </w:pPr>
            <w:r>
              <w:rPr>
                <w:b/>
                <w:bCs/>
                <w:color w:val="FFFFFF"/>
                <w:sz w:val="20"/>
                <w:szCs w:val="20"/>
              </w:rPr>
              <w:t>G=20</w:t>
            </w:r>
          </w:p>
        </w:tc>
        <w:tc>
          <w:tcPr>
            <w:tcW w:w="1660" w:type="dxa"/>
            <w:tcBorders>
              <w:top w:val="single" w:sz="4" w:space="0" w:color="999999"/>
              <w:left w:val="single" w:sz="4" w:space="0" w:color="999999"/>
              <w:bottom w:val="single" w:sz="4" w:space="0" w:color="999999"/>
              <w:right w:val="single" w:sz="4" w:space="0" w:color="999999"/>
            </w:tcBorders>
            <w:shd w:color="auto" w:fill="1F4E79" w:val="clear"/>
          </w:tcPr>
          <w:p>
            <w:pPr>
              <w:pStyle w:val="Normal"/>
              <w:rPr/>
            </w:pPr>
            <w:r>
              <w:rPr>
                <w:b/>
                <w:bCs/>
                <w:color w:val="FFFFFF"/>
                <w:sz w:val="20"/>
                <w:szCs w:val="20"/>
              </w:rPr>
              <w:t>G=50</w:t>
            </w:r>
          </w:p>
        </w:tc>
      </w:tr>
      <w:tr>
        <w:trPr/>
        <w:tc>
          <w:tcPr>
            <w:tcW w:w="16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[2,1,1] KAN</w:t>
            </w:r>
          </w:p>
        </w:tc>
        <w:tc>
          <w:tcPr>
            <w:tcW w:w="1501"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1.7e-2</w:t>
            </w:r>
          </w:p>
        </w:tc>
        <w:tc>
          <w:tcPr>
            <w:tcW w:w="14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6.3e-3</w:t>
            </w:r>
          </w:p>
        </w:tc>
        <w:tc>
          <w:tcPr>
            <w:tcW w:w="1501"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1.1e-3</w:t>
            </w:r>
          </w:p>
        </w:tc>
        <w:tc>
          <w:tcPr>
            <w:tcW w:w="14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1.5e-3</w:t>
            </w:r>
          </w:p>
        </w:tc>
        <w:tc>
          <w:tcPr>
            <w:tcW w:w="16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1.4e-3</w:t>
            </w:r>
          </w:p>
        </w:tc>
      </w:tr>
      <w:tr>
        <w:trPr/>
        <w:tc>
          <w:tcPr>
            <w:tcW w:w="16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[2,5,1] KAN</w:t>
            </w:r>
          </w:p>
        </w:tc>
        <w:tc>
          <w:tcPr>
            <w:tcW w:w="1501"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2.4e-3</w:t>
            </w:r>
          </w:p>
        </w:tc>
        <w:tc>
          <w:tcPr>
            <w:tcW w:w="14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1.3e-3</w:t>
            </w:r>
          </w:p>
        </w:tc>
        <w:tc>
          <w:tcPr>
            <w:tcW w:w="1501"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8.2e-4</w:t>
            </w:r>
          </w:p>
        </w:tc>
        <w:tc>
          <w:tcPr>
            <w:tcW w:w="14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1.4e-2</w:t>
            </w:r>
          </w:p>
        </w:tc>
        <w:tc>
          <w:tcPr>
            <w:tcW w:w="16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2.4e-2</w:t>
            </w:r>
          </w:p>
        </w:tc>
      </w:tr>
    </w:tbl>
    <w:p>
      <w:pPr>
        <w:pStyle w:val="Normal"/>
        <w:spacing w:before="0" w:after="160"/>
        <w:rPr/>
      </w:pPr>
      <w:r>
        <w:rPr/>
      </w:r>
    </w:p>
    <w:p>
      <w:pPr>
        <w:pStyle w:val="Normal"/>
        <w:spacing w:lineRule="exact" w:line="276" w:before="0" w:after="120"/>
        <w:rPr/>
      </w:pPr>
      <w:r>
        <w:rPr/>
        <w:t>Staircase behaviour appears: after each extension the loss spikes and then drops below the previous plateau, up to G = 10. The small [2,1,1] KAN, which matches the true structure, is better than or comparable to the [2,5,1] KAN at large G, consistent with the paper’s “small KANs generalise better” remark. The larger network overfits beyond G ≈ 10–20; the paper’s interpolation-threshold estimate (G ≈ 1000/15 ≈ 67) is later than what I observed. I did not reproduce the paper’s G⁻⁴ scaling or its 10⁻⁷-level losses: my errors plateau near 10⁻³, which I attribute to the limited LBFGS budget and the lossy extension step rather than to the method itself, although I did not test this.</w:t>
      </w:r>
    </w:p>
    <w:p>
      <w:pPr>
        <w:pStyle w:val="Heading2"/>
        <w:rPr/>
      </w:pPr>
      <w:r>
        <w:rPr/>
        <w:t>7.2 KAN vs MLP scaling (paper Sec. 3.1)</w:t>
      </w:r>
    </w:p>
    <w:p>
      <w:pPr>
        <w:pStyle w:val="Normal"/>
        <w:keepNext w:val="true"/>
        <w:jc w:val="center"/>
        <w:rPr/>
      </w:pPr>
      <w:r>
        <w:rPr/>
        <w:drawing>
          <wp:inline distT="0" distB="0" distL="0" distR="0">
            <wp:extent cx="5715000" cy="2076450"/>
            <wp:effectExtent l="0" t="0" r="0" b="0"/>
            <wp:docPr id="3" name="fig_scaling_vs_mlp.png" descr="Figure 3. Test RMSE vs number of parameters; KANs of the known shape (grids 3→20) against MLPs of depth 2 and 3 (widths 5–40, SiLU, 300 LBFGS steps).&#10;Figure 3. Test RMSE vs number of parameters; KANs of the known shape (grids 3→20) against MLPs of depth 2 and 3 (widths 5–40, SiLU, 300 LBFGS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scaling_vs_mlp.png" descr="Figure 3. Test RMSE vs number of parameters; KANs of the known shape (grids 3→20) against MLPs of depth 2 and 3 (widths 5–40, SiLU, 300 LBFGS steps).&#10;Figure 3. Test RMSE vs number of parameters; KANs of the known shape (grids 3→20) against MLPs of depth 2 and 3 (widths 5–40, SiLU, 300 LBFGS steps)."/>
                    <pic:cNvPicPr>
                      <a:picLocks noChangeAspect="1" noChangeArrowheads="1"/>
                    </pic:cNvPicPr>
                  </pic:nvPicPr>
                  <pic:blipFill>
                    <a:blip r:embed="rId4"/>
                    <a:stretch>
                      <a:fillRect/>
                    </a:stretch>
                  </pic:blipFill>
                  <pic:spPr bwMode="auto">
                    <a:xfrm>
                      <a:off x="0" y="0"/>
                      <a:ext cx="5715000" cy="2076450"/>
                    </a:xfrm>
                    <a:prstGeom prst="rect">
                      <a:avLst/>
                    </a:prstGeom>
                  </pic:spPr>
                </pic:pic>
              </a:graphicData>
            </a:graphic>
          </wp:inline>
        </w:drawing>
      </w:r>
    </w:p>
    <w:p>
      <w:pPr>
        <w:pStyle w:val="Normal"/>
        <w:spacing w:before="0" w:after="200"/>
        <w:jc w:val="center"/>
        <w:rPr/>
      </w:pPr>
      <w:r>
        <w:rPr>
          <w:i/>
          <w:iCs/>
          <w:sz w:val="20"/>
          <w:szCs w:val="20"/>
        </w:rPr>
        <w:t>Figure 3. Test RMSE vs number of parameters; KANs of the known shape (grids 3→20) against MLPs of depth 2 and 3 (widths 5–40, SiLU, 300 LBFGS steps).</w:t>
      </w:r>
    </w:p>
    <w:tbl>
      <w:tblPr>
        <w:tblW w:w="9360" w:type="dxa"/>
        <w:jc w:val="left"/>
        <w:tblInd w:w="0" w:type="dxa"/>
        <w:tblLayout w:type="fixed"/>
        <w:tblCellMar>
          <w:top w:w="60" w:type="dxa"/>
          <w:left w:w="100" w:type="dxa"/>
          <w:bottom w:w="60" w:type="dxa"/>
          <w:right w:w="100" w:type="dxa"/>
        </w:tblCellMar>
      </w:tblPr>
      <w:tblGrid>
        <w:gridCol w:w="2500"/>
        <w:gridCol w:w="1699"/>
        <w:gridCol w:w="1700"/>
        <w:gridCol w:w="1701"/>
        <w:gridCol w:w="1760"/>
      </w:tblGrid>
      <w:tr>
        <w:trPr>
          <w:tblHeader w:val="true"/>
        </w:trPr>
        <w:tc>
          <w:tcPr>
            <w:tcW w:w="2500" w:type="dxa"/>
            <w:tcBorders>
              <w:top w:val="single" w:sz="4" w:space="0" w:color="999999"/>
              <w:left w:val="single" w:sz="4" w:space="0" w:color="999999"/>
              <w:bottom w:val="single" w:sz="4" w:space="0" w:color="999999"/>
              <w:right w:val="single" w:sz="4" w:space="0" w:color="999999"/>
            </w:tcBorders>
            <w:shd w:color="auto" w:fill="1F4E79" w:val="clear"/>
          </w:tcPr>
          <w:p>
            <w:pPr>
              <w:pStyle w:val="Normal"/>
              <w:rPr/>
            </w:pPr>
            <w:r>
              <w:rPr>
                <w:b/>
                <w:bCs/>
                <w:color w:val="FFFFFF"/>
                <w:sz w:val="20"/>
                <w:szCs w:val="20"/>
              </w:rPr>
              <w:t>exp(sin(πx)+y²)</w:t>
            </w:r>
          </w:p>
        </w:tc>
        <w:tc>
          <w:tcPr>
            <w:tcW w:w="1699" w:type="dxa"/>
            <w:tcBorders>
              <w:top w:val="single" w:sz="4" w:space="0" w:color="999999"/>
              <w:left w:val="single" w:sz="4" w:space="0" w:color="999999"/>
              <w:bottom w:val="single" w:sz="4" w:space="0" w:color="999999"/>
              <w:right w:val="single" w:sz="4" w:space="0" w:color="999999"/>
            </w:tcBorders>
            <w:shd w:color="auto" w:fill="1F4E79" w:val="clear"/>
          </w:tcPr>
          <w:p>
            <w:pPr>
              <w:pStyle w:val="Normal"/>
              <w:rPr/>
            </w:pPr>
            <w:r>
              <w:rPr>
                <w:b/>
                <w:bCs/>
                <w:color w:val="FFFFFF"/>
                <w:sz w:val="20"/>
                <w:szCs w:val="20"/>
              </w:rPr>
              <w:t>Params</w:t>
            </w:r>
          </w:p>
        </w:tc>
        <w:tc>
          <w:tcPr>
            <w:tcW w:w="1700" w:type="dxa"/>
            <w:tcBorders>
              <w:top w:val="single" w:sz="4" w:space="0" w:color="999999"/>
              <w:left w:val="single" w:sz="4" w:space="0" w:color="999999"/>
              <w:bottom w:val="single" w:sz="4" w:space="0" w:color="999999"/>
              <w:right w:val="single" w:sz="4" w:space="0" w:color="999999"/>
            </w:tcBorders>
            <w:shd w:color="auto" w:fill="1F4E79" w:val="clear"/>
          </w:tcPr>
          <w:p>
            <w:pPr>
              <w:pStyle w:val="Normal"/>
              <w:rPr/>
            </w:pPr>
            <w:r>
              <w:rPr/>
            </w:r>
          </w:p>
        </w:tc>
        <w:tc>
          <w:tcPr>
            <w:tcW w:w="1701" w:type="dxa"/>
            <w:tcBorders>
              <w:top w:val="single" w:sz="4" w:space="0" w:color="999999"/>
              <w:left w:val="single" w:sz="4" w:space="0" w:color="999999"/>
              <w:bottom w:val="single" w:sz="4" w:space="0" w:color="999999"/>
              <w:right w:val="single" w:sz="4" w:space="0" w:color="999999"/>
            </w:tcBorders>
            <w:shd w:color="auto" w:fill="1F4E79" w:val="clear"/>
          </w:tcPr>
          <w:p>
            <w:pPr>
              <w:pStyle w:val="Normal"/>
              <w:rPr/>
            </w:pPr>
            <w:r>
              <w:rPr/>
            </w:r>
          </w:p>
        </w:tc>
        <w:tc>
          <w:tcPr>
            <w:tcW w:w="1760" w:type="dxa"/>
            <w:tcBorders>
              <w:top w:val="single" w:sz="4" w:space="0" w:color="999999"/>
              <w:left w:val="single" w:sz="4" w:space="0" w:color="999999"/>
              <w:bottom w:val="single" w:sz="4" w:space="0" w:color="999999"/>
              <w:right w:val="single" w:sz="4" w:space="0" w:color="999999"/>
            </w:tcBorders>
            <w:shd w:color="auto" w:fill="1F4E79" w:val="clear"/>
          </w:tcPr>
          <w:p>
            <w:pPr>
              <w:pStyle w:val="Normal"/>
              <w:rPr/>
            </w:pPr>
            <w:r>
              <w:rPr>
                <w:b/>
                <w:bCs/>
                <w:color w:val="FFFFFF"/>
                <w:sz w:val="20"/>
                <w:szCs w:val="20"/>
              </w:rPr>
              <w:t>Test RMSE</w:t>
            </w:r>
          </w:p>
        </w:tc>
      </w:tr>
      <w:tr>
        <w:trPr/>
        <w:tc>
          <w:tcPr>
            <w:tcW w:w="250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KAN [2,1,1], G=3 → 20</w:t>
            </w:r>
          </w:p>
        </w:tc>
        <w:tc>
          <w:tcPr>
            <w:tcW w:w="16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24 → 75</w:t>
            </w:r>
          </w:p>
        </w:tc>
        <w:tc>
          <w:tcPr>
            <w:tcW w:w="1700" w:type="dxa"/>
            <w:tcBorders>
              <w:top w:val="single" w:sz="4" w:space="0" w:color="999999"/>
              <w:left w:val="single" w:sz="4" w:space="0" w:color="999999"/>
              <w:bottom w:val="single" w:sz="4" w:space="0" w:color="999999"/>
              <w:right w:val="single" w:sz="4" w:space="0" w:color="999999"/>
            </w:tcBorders>
          </w:tcPr>
          <w:p>
            <w:pPr>
              <w:pStyle w:val="Normal"/>
              <w:rPr/>
            </w:pPr>
            <w:r>
              <w:rPr/>
            </w:r>
          </w:p>
        </w:tc>
        <w:tc>
          <w:tcPr>
            <w:tcW w:w="1701" w:type="dxa"/>
            <w:tcBorders>
              <w:top w:val="single" w:sz="4" w:space="0" w:color="999999"/>
              <w:left w:val="single" w:sz="4" w:space="0" w:color="999999"/>
              <w:bottom w:val="single" w:sz="4" w:space="0" w:color="999999"/>
              <w:right w:val="single" w:sz="4" w:space="0" w:color="999999"/>
            </w:tcBorders>
          </w:tcPr>
          <w:p>
            <w:pPr>
              <w:pStyle w:val="Normal"/>
              <w:rPr/>
            </w:pPr>
            <w:r>
              <w:rPr/>
            </w:r>
          </w:p>
        </w:tc>
        <w:tc>
          <w:tcPr>
            <w:tcW w:w="17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1.8e-2 → 5.6e-3</w:t>
            </w:r>
          </w:p>
        </w:tc>
      </w:tr>
      <w:tr>
        <w:trPr/>
        <w:tc>
          <w:tcPr>
            <w:tcW w:w="250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MLP depth 2</w:t>
            </w:r>
          </w:p>
        </w:tc>
        <w:tc>
          <w:tcPr>
            <w:tcW w:w="16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21 → 161</w:t>
            </w:r>
          </w:p>
        </w:tc>
        <w:tc>
          <w:tcPr>
            <w:tcW w:w="1700" w:type="dxa"/>
            <w:tcBorders>
              <w:top w:val="single" w:sz="4" w:space="0" w:color="999999"/>
              <w:left w:val="single" w:sz="4" w:space="0" w:color="999999"/>
              <w:bottom w:val="single" w:sz="4" w:space="0" w:color="999999"/>
              <w:right w:val="single" w:sz="4" w:space="0" w:color="999999"/>
            </w:tcBorders>
          </w:tcPr>
          <w:p>
            <w:pPr>
              <w:pStyle w:val="Normal"/>
              <w:rPr/>
            </w:pPr>
            <w:r>
              <w:rPr/>
            </w:r>
          </w:p>
        </w:tc>
        <w:tc>
          <w:tcPr>
            <w:tcW w:w="1701" w:type="dxa"/>
            <w:tcBorders>
              <w:top w:val="single" w:sz="4" w:space="0" w:color="999999"/>
              <w:left w:val="single" w:sz="4" w:space="0" w:color="999999"/>
              <w:bottom w:val="single" w:sz="4" w:space="0" w:color="999999"/>
              <w:right w:val="single" w:sz="4" w:space="0" w:color="999999"/>
            </w:tcBorders>
          </w:tcPr>
          <w:p>
            <w:pPr>
              <w:pStyle w:val="Normal"/>
              <w:rPr/>
            </w:pPr>
            <w:r>
              <w:rPr/>
            </w:r>
          </w:p>
        </w:tc>
        <w:tc>
          <w:tcPr>
            <w:tcW w:w="17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1.1e-1 → 3.0e-2</w:t>
            </w:r>
          </w:p>
        </w:tc>
      </w:tr>
      <w:tr>
        <w:trPr/>
        <w:tc>
          <w:tcPr>
            <w:tcW w:w="250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MLP depth 3</w:t>
            </w:r>
          </w:p>
        </w:tc>
        <w:tc>
          <w:tcPr>
            <w:tcW w:w="16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51 → 1,801</w:t>
            </w:r>
          </w:p>
        </w:tc>
        <w:tc>
          <w:tcPr>
            <w:tcW w:w="1700" w:type="dxa"/>
            <w:tcBorders>
              <w:top w:val="single" w:sz="4" w:space="0" w:color="999999"/>
              <w:left w:val="single" w:sz="4" w:space="0" w:color="999999"/>
              <w:bottom w:val="single" w:sz="4" w:space="0" w:color="999999"/>
              <w:right w:val="single" w:sz="4" w:space="0" w:color="999999"/>
            </w:tcBorders>
          </w:tcPr>
          <w:p>
            <w:pPr>
              <w:pStyle w:val="Normal"/>
              <w:rPr/>
            </w:pPr>
            <w:r>
              <w:rPr/>
            </w:r>
          </w:p>
        </w:tc>
        <w:tc>
          <w:tcPr>
            <w:tcW w:w="1701" w:type="dxa"/>
            <w:tcBorders>
              <w:top w:val="single" w:sz="4" w:space="0" w:color="999999"/>
              <w:left w:val="single" w:sz="4" w:space="0" w:color="999999"/>
              <w:bottom w:val="single" w:sz="4" w:space="0" w:color="999999"/>
              <w:right w:val="single" w:sz="4" w:space="0" w:color="999999"/>
            </w:tcBorders>
          </w:tcPr>
          <w:p>
            <w:pPr>
              <w:pStyle w:val="Normal"/>
              <w:rPr/>
            </w:pPr>
            <w:r>
              <w:rPr/>
            </w:r>
          </w:p>
        </w:tc>
        <w:tc>
          <w:tcPr>
            <w:tcW w:w="17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9.0e-3 → 1.5e-3</w:t>
            </w:r>
          </w:p>
        </w:tc>
      </w:tr>
      <w:tr>
        <w:trPr/>
        <w:tc>
          <w:tcPr>
            <w:tcW w:w="250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x·y: KAN [2,2,1]</w:t>
            </w:r>
          </w:p>
        </w:tc>
        <w:tc>
          <w:tcPr>
            <w:tcW w:w="16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48 → 150</w:t>
            </w:r>
          </w:p>
        </w:tc>
        <w:tc>
          <w:tcPr>
            <w:tcW w:w="1700" w:type="dxa"/>
            <w:tcBorders>
              <w:top w:val="single" w:sz="4" w:space="0" w:color="999999"/>
              <w:left w:val="single" w:sz="4" w:space="0" w:color="999999"/>
              <w:bottom w:val="single" w:sz="4" w:space="0" w:color="999999"/>
              <w:right w:val="single" w:sz="4" w:space="0" w:color="999999"/>
            </w:tcBorders>
          </w:tcPr>
          <w:p>
            <w:pPr>
              <w:pStyle w:val="Normal"/>
              <w:rPr/>
            </w:pPr>
            <w:r>
              <w:rPr/>
            </w:r>
          </w:p>
        </w:tc>
        <w:tc>
          <w:tcPr>
            <w:tcW w:w="1701" w:type="dxa"/>
            <w:tcBorders>
              <w:top w:val="single" w:sz="4" w:space="0" w:color="999999"/>
              <w:left w:val="single" w:sz="4" w:space="0" w:color="999999"/>
              <w:bottom w:val="single" w:sz="4" w:space="0" w:color="999999"/>
              <w:right w:val="single" w:sz="4" w:space="0" w:color="999999"/>
            </w:tcBorders>
          </w:tcPr>
          <w:p>
            <w:pPr>
              <w:pStyle w:val="Normal"/>
              <w:rPr/>
            </w:pPr>
            <w:r>
              <w:rPr/>
            </w:r>
          </w:p>
        </w:tc>
        <w:tc>
          <w:tcPr>
            <w:tcW w:w="17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7.6e-4 → 2.4e-5</w:t>
            </w:r>
          </w:p>
        </w:tc>
      </w:tr>
      <w:tr>
        <w:trPr/>
        <w:tc>
          <w:tcPr>
            <w:tcW w:w="250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x·y: MLP depth 2</w:t>
            </w:r>
          </w:p>
        </w:tc>
        <w:tc>
          <w:tcPr>
            <w:tcW w:w="16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21 → 161</w:t>
            </w:r>
          </w:p>
        </w:tc>
        <w:tc>
          <w:tcPr>
            <w:tcW w:w="1700" w:type="dxa"/>
            <w:tcBorders>
              <w:top w:val="single" w:sz="4" w:space="0" w:color="999999"/>
              <w:left w:val="single" w:sz="4" w:space="0" w:color="999999"/>
              <w:bottom w:val="single" w:sz="4" w:space="0" w:color="999999"/>
              <w:right w:val="single" w:sz="4" w:space="0" w:color="999999"/>
            </w:tcBorders>
          </w:tcPr>
          <w:p>
            <w:pPr>
              <w:pStyle w:val="Normal"/>
              <w:rPr/>
            </w:pPr>
            <w:r>
              <w:rPr/>
            </w:r>
          </w:p>
        </w:tc>
        <w:tc>
          <w:tcPr>
            <w:tcW w:w="1701" w:type="dxa"/>
            <w:tcBorders>
              <w:top w:val="single" w:sz="4" w:space="0" w:color="999999"/>
              <w:left w:val="single" w:sz="4" w:space="0" w:color="999999"/>
              <w:bottom w:val="single" w:sz="4" w:space="0" w:color="999999"/>
              <w:right w:val="single" w:sz="4" w:space="0" w:color="999999"/>
            </w:tcBorders>
          </w:tcPr>
          <w:p>
            <w:pPr>
              <w:pStyle w:val="Normal"/>
              <w:rPr/>
            </w:pPr>
            <w:r>
              <w:rPr/>
            </w:r>
          </w:p>
        </w:tc>
        <w:tc>
          <w:tcPr>
            <w:tcW w:w="17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2.7e-3 → 1.5e-3</w:t>
            </w:r>
          </w:p>
        </w:tc>
      </w:tr>
      <w:tr>
        <w:trPr/>
        <w:tc>
          <w:tcPr>
            <w:tcW w:w="250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x·y: MLP depth 3</w:t>
            </w:r>
          </w:p>
        </w:tc>
        <w:tc>
          <w:tcPr>
            <w:tcW w:w="16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51 → 1,801</w:t>
            </w:r>
          </w:p>
        </w:tc>
        <w:tc>
          <w:tcPr>
            <w:tcW w:w="1700" w:type="dxa"/>
            <w:tcBorders>
              <w:top w:val="single" w:sz="4" w:space="0" w:color="999999"/>
              <w:left w:val="single" w:sz="4" w:space="0" w:color="999999"/>
              <w:bottom w:val="single" w:sz="4" w:space="0" w:color="999999"/>
              <w:right w:val="single" w:sz="4" w:space="0" w:color="999999"/>
            </w:tcBorders>
          </w:tcPr>
          <w:p>
            <w:pPr>
              <w:pStyle w:val="Normal"/>
              <w:rPr/>
            </w:pPr>
            <w:r>
              <w:rPr/>
            </w:r>
          </w:p>
        </w:tc>
        <w:tc>
          <w:tcPr>
            <w:tcW w:w="1701" w:type="dxa"/>
            <w:tcBorders>
              <w:top w:val="single" w:sz="4" w:space="0" w:color="999999"/>
              <w:left w:val="single" w:sz="4" w:space="0" w:color="999999"/>
              <w:bottom w:val="single" w:sz="4" w:space="0" w:color="999999"/>
              <w:right w:val="single" w:sz="4" w:space="0" w:color="999999"/>
            </w:tcBorders>
          </w:tcPr>
          <w:p>
            <w:pPr>
              <w:pStyle w:val="Normal"/>
              <w:rPr/>
            </w:pPr>
            <w:r>
              <w:rPr/>
            </w:r>
          </w:p>
        </w:tc>
        <w:tc>
          <w:tcPr>
            <w:tcW w:w="17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1.8e-3 → 4.9e-4</w:t>
            </w:r>
          </w:p>
        </w:tc>
      </w:tr>
    </w:tbl>
    <w:p>
      <w:pPr>
        <w:pStyle w:val="Normal"/>
        <w:spacing w:before="0" w:after="160"/>
        <w:rPr/>
      </w:pPr>
      <w:r>
        <w:rPr/>
      </w:r>
    </w:p>
    <w:p>
      <w:pPr>
        <w:pStyle w:val="Normal"/>
        <w:spacing w:lineRule="exact" w:line="276" w:before="0" w:after="120"/>
        <w:rPr/>
      </w:pPr>
      <w:r>
        <w:rPr/>
        <w:t>The result is mixed. For x·y the KAN improves steadily with grid size and ends about 20× better than the best MLP with roughly 12× fewer parameters (150 vs 1,801), in line with the paper. For exp(sin(πx)+y²) the KAN is clearly better than depth-2 MLPs and better than the depth-3 MLP at similar size (45–75 parameters: 5.6e-3 vs 9.0e-3 at 51), but its error plateaus at about 5×10⁻³ and a larger depth-3 MLP (≥150 parameters) eventually wins. The paper reports KANs close to the α = 4 line on this task, which I did not match; again, optimisation budget is the most likely cause.</w:t>
      </w:r>
    </w:p>
    <w:p>
      <w:pPr>
        <w:pStyle w:val="Heading2"/>
        <w:rPr/>
      </w:pPr>
      <w:r>
        <w:rPr/>
        <w:t>7.3 Symbolic regression workflow (paper Sec. 2.5.2)</w:t>
      </w:r>
    </w:p>
    <w:p>
      <w:pPr>
        <w:pStyle w:val="Normal"/>
        <w:spacing w:lineRule="exact" w:line="276" w:before="0" w:after="120"/>
        <w:rPr/>
      </w:pPr>
      <w:r>
        <w:rPr/>
        <w:t>I followed “Alice’s” workflow on f(x,y) = exp(sin(πx)+y²) with 2,000 training points. A [2,5,1] KAN was trained with sparsity (λ = 3×10⁻³) and pruned automatically to a [2,1,1] KAN (2 + 1 active edges) with test RMSE 6.3×10⁻³. suggest_symbolic ranked sin for the first input edge and x² for the second input edge, as expected. For the outer edge it ranked tanh (R² = 0.999967) just above exp (R² = 0.999757); on the narrow input range these are nearly indistinguishable. This is exactly the situation the paper describes as needing a human: I fixed exp from prior knowledge (the paper’s step 3). SymPy then returned:</w:t>
      </w:r>
    </w:p>
    <w:p>
      <w:pPr>
        <w:pStyle w:val="Normal"/>
        <w:spacing w:before="60" w:after="120"/>
        <w:jc w:val="center"/>
        <w:rPr/>
      </w:pPr>
      <w:r>
        <w:rPr>
          <w:rFonts w:eastAsia="Cambria Math" w:cs="Cambria Math" w:ascii="Cambria Math" w:hAnsi="Cambria Math"/>
          <w:i/>
          <w:iCs/>
        </w:rPr>
        <w:t>f̂(x, y) = 1.082 · exp(0.956 y²) · exp(0.958 sin(3.144 x)) − 0.078</w:t>
      </w:r>
    </w:p>
    <w:p>
      <w:pPr>
        <w:pStyle w:val="Normal"/>
        <w:spacing w:lineRule="exact" w:line="276" w:before="0" w:after="120"/>
        <w:rPr/>
      </w:pPr>
      <w:r>
        <w:rPr/>
        <w:t>This is the true function up to small coefficient errors (sin(3.144x) ≈ sin(πx)); its test RMSE is 0.0217 on a target spanning roughly 0.4–7.4. The paper’s version converges to machine precision after further training of the affine parameters, which I did not implement as a separate step: my fitter fixes (a, b, c, d) once by grid search and does not fine-tune them by gradient descent, so my formula is accurate but not exact.</w:t>
      </w:r>
    </w:p>
    <w:p>
      <w:pPr>
        <w:pStyle w:val="Heading2"/>
        <w:rPr/>
      </w:pPr>
      <w:r>
        <w:rPr/>
        <w:t>7.4 Continual learning (paper Sec. 3.5)</w:t>
      </w:r>
    </w:p>
    <w:p>
      <w:pPr>
        <w:pStyle w:val="Normal"/>
        <w:keepNext w:val="true"/>
        <w:jc w:val="center"/>
        <w:rPr/>
      </w:pPr>
      <w:r>
        <w:rPr/>
        <w:drawing>
          <wp:inline distT="0" distB="0" distL="0" distR="0">
            <wp:extent cx="5715000" cy="1771650"/>
            <wp:effectExtent l="0" t="0" r="0" b="0"/>
            <wp:docPr id="4" name="fig_continual.png" descr="Figure 4. Five Gaussian peaks presented one phase at a time. Top: spline-only KAN; bottom: MLP [1,64,64,1]. Light grey = target.&#10;Figure 4. Five Gaussian peaks presented one phase at a time. Top: spline-only KAN; bottom: MLP [1,64,64,1]. Light grey =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_continual.png" descr="Figure 4. Five Gaussian peaks presented one phase at a time. Top: spline-only KAN; bottom: MLP [1,64,64,1]. Light grey = target.&#10;Figure 4. Five Gaussian peaks presented one phase at a time. Top: spline-only KAN; bottom: MLP [1,64,64,1]. Light grey = target."/>
                    <pic:cNvPicPr>
                      <a:picLocks noChangeAspect="1" noChangeArrowheads="1"/>
                    </pic:cNvPicPr>
                  </pic:nvPicPr>
                  <pic:blipFill>
                    <a:blip r:embed="rId5"/>
                    <a:stretch>
                      <a:fillRect/>
                    </a:stretch>
                  </pic:blipFill>
                  <pic:spPr bwMode="auto">
                    <a:xfrm>
                      <a:off x="0" y="0"/>
                      <a:ext cx="5715000" cy="1771650"/>
                    </a:xfrm>
                    <a:prstGeom prst="rect">
                      <a:avLst/>
                    </a:prstGeom>
                  </pic:spPr>
                </pic:pic>
              </a:graphicData>
            </a:graphic>
          </wp:inline>
        </w:drawing>
      </w:r>
    </w:p>
    <w:p>
      <w:pPr>
        <w:pStyle w:val="Normal"/>
        <w:spacing w:before="0" w:after="200"/>
        <w:jc w:val="center"/>
        <w:rPr/>
      </w:pPr>
      <w:r>
        <w:rPr>
          <w:i/>
          <w:iCs/>
          <w:sz w:val="20"/>
          <w:szCs w:val="20"/>
        </w:rPr>
        <w:t>Figure 4. Five Gaussian peaks presented one phase at a time. Top: spline-only KAN; bottom: MLP [1,64,64,1]. Light grey = target.</w:t>
      </w:r>
    </w:p>
    <w:p>
      <w:pPr>
        <w:pStyle w:val="Normal"/>
        <w:spacing w:lineRule="exact" w:line="276" w:before="0" w:after="120"/>
        <w:rPr/>
      </w:pPr>
      <w:r>
        <w:rPr/>
        <w:t>The 1-D target is a sum of five Gaussian peaks; data from one peak is shown in each phase (Adam, 800 steps per phase). My spline-only KAN (G = 50, shape [1,1]) finished with RMSE 0.001 on all five peaks, i.e. no measurable forgetting. The MLP’s error on earlier peaks grew to 484, 396, 282 and 113 for peaks 1–4 (the absurd magnitudes come from unconstrained extrapolation outside the current phase’s data, but the qualitative conclusion — severe forgetting — matches the paper) while the last peak was learned well (0.059).</w:t>
      </w:r>
    </w:p>
    <w:p>
      <w:pPr>
        <w:pStyle w:val="Normal"/>
        <w:spacing w:lineRule="exact" w:line="276" w:before="0" w:after="120"/>
        <w:rPr/>
      </w:pPr>
      <w:r>
        <w:rPr>
          <w:b/>
          <w:bCs/>
        </w:rPr>
        <w:t xml:space="preserve">An important caveat that I found: </w:t>
      </w:r>
      <w:r>
        <w:rPr/>
        <w:t>this only worked after I froze the global scale parameters w_b and w_s. With w_s trainable, the global scale was rewritten in every phase and old-peak error grew steadily (RMSE on peak 1 reached 0.535 by phase 5). Locality comes from the spline coefficients, not from the full parametrisation in Eq. (3); the paper does not discuss this subtlety, and the experiment is a one-dimensional toy, as the authors themselves note.</w:t>
      </w:r>
    </w:p>
    <w:p>
      <w:pPr>
        <w:pStyle w:val="Heading2"/>
        <w:rPr/>
      </w:pPr>
      <w:r>
        <w:rPr/>
        <w:t>7.5 Solving a PDE with a PINN (paper Sec. 3.4)</w:t>
      </w:r>
    </w:p>
    <w:p>
      <w:pPr>
        <w:pStyle w:val="Normal"/>
        <w:spacing w:lineRule="exact" w:line="276" w:before="0" w:after="120"/>
        <w:rPr/>
      </w:pPr>
      <w:r>
        <w:rPr/>
        <w:t>For the Poisson problem u_xx + u_yy = f on [−1,1]² with zero Dirichlet boundary data and exact solution u = sin(πx) sin(πy²), I minimised α·loss_interior + loss_boundary with α = 0.01 (30×30 interior points, 200 boundary points; 40 LBFGS steps; MSE measured on 4,000 random points).</w:t>
      </w:r>
    </w:p>
    <w:tbl>
      <w:tblPr>
        <w:tblW w:w="9360" w:type="dxa"/>
        <w:jc w:val="left"/>
        <w:tblInd w:w="0" w:type="dxa"/>
        <w:tblLayout w:type="fixed"/>
        <w:tblCellMar>
          <w:top w:w="60" w:type="dxa"/>
          <w:left w:w="100" w:type="dxa"/>
          <w:bottom w:w="60" w:type="dxa"/>
          <w:right w:w="100" w:type="dxa"/>
        </w:tblCellMar>
      </w:tblPr>
      <w:tblGrid>
        <w:gridCol w:w="3700"/>
        <w:gridCol w:w="2000"/>
        <w:gridCol w:w="3660"/>
      </w:tblGrid>
      <w:tr>
        <w:trPr>
          <w:tblHeader w:val="true"/>
        </w:trPr>
        <w:tc>
          <w:tcPr>
            <w:tcW w:w="3700" w:type="dxa"/>
            <w:tcBorders>
              <w:top w:val="single" w:sz="4" w:space="0" w:color="999999"/>
              <w:left w:val="single" w:sz="4" w:space="0" w:color="999999"/>
              <w:bottom w:val="single" w:sz="4" w:space="0" w:color="999999"/>
              <w:right w:val="single" w:sz="4" w:space="0" w:color="999999"/>
            </w:tcBorders>
            <w:shd w:color="auto" w:fill="1F4E79" w:val="clear"/>
          </w:tcPr>
          <w:p>
            <w:pPr>
              <w:pStyle w:val="Normal"/>
              <w:rPr/>
            </w:pPr>
            <w:r>
              <w:rPr>
                <w:b/>
                <w:bCs/>
                <w:color w:val="FFFFFF"/>
                <w:sz w:val="20"/>
                <w:szCs w:val="20"/>
              </w:rPr>
              <w:t>Model</w:t>
            </w:r>
          </w:p>
        </w:tc>
        <w:tc>
          <w:tcPr>
            <w:tcW w:w="2000" w:type="dxa"/>
            <w:tcBorders>
              <w:top w:val="single" w:sz="4" w:space="0" w:color="999999"/>
              <w:left w:val="single" w:sz="4" w:space="0" w:color="999999"/>
              <w:bottom w:val="single" w:sz="4" w:space="0" w:color="999999"/>
              <w:right w:val="single" w:sz="4" w:space="0" w:color="999999"/>
            </w:tcBorders>
            <w:shd w:color="auto" w:fill="1F4E79" w:val="clear"/>
          </w:tcPr>
          <w:p>
            <w:pPr>
              <w:pStyle w:val="Normal"/>
              <w:rPr/>
            </w:pPr>
            <w:r>
              <w:rPr>
                <w:b/>
                <w:bCs/>
                <w:color w:val="FFFFFF"/>
                <w:sz w:val="20"/>
                <w:szCs w:val="20"/>
              </w:rPr>
              <w:t>Parameters</w:t>
            </w:r>
          </w:p>
        </w:tc>
        <w:tc>
          <w:tcPr>
            <w:tcW w:w="3660" w:type="dxa"/>
            <w:tcBorders>
              <w:top w:val="single" w:sz="4" w:space="0" w:color="999999"/>
              <w:left w:val="single" w:sz="4" w:space="0" w:color="999999"/>
              <w:bottom w:val="single" w:sz="4" w:space="0" w:color="999999"/>
              <w:right w:val="single" w:sz="4" w:space="0" w:color="999999"/>
            </w:tcBorders>
            <w:shd w:color="auto" w:fill="1F4E79" w:val="clear"/>
          </w:tcPr>
          <w:p>
            <w:pPr>
              <w:pStyle w:val="Normal"/>
              <w:rPr/>
            </w:pPr>
            <w:r>
              <w:rPr>
                <w:b/>
                <w:bCs/>
                <w:color w:val="FFFFFF"/>
                <w:sz w:val="20"/>
                <w:szCs w:val="20"/>
              </w:rPr>
              <w:t>Test L² MSE</w:t>
            </w:r>
          </w:p>
        </w:tc>
      </w:tr>
      <w:tr>
        <w:trPr/>
        <w:tc>
          <w:tcPr>
            <w:tcW w:w="370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KAN [2,5,1], G=5</w:t>
            </w:r>
          </w:p>
        </w:tc>
        <w:tc>
          <w:tcPr>
            <w:tcW w:w="200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150</w:t>
            </w:r>
          </w:p>
        </w:tc>
        <w:tc>
          <w:tcPr>
            <w:tcW w:w="36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7.4e-5</w:t>
            </w:r>
          </w:p>
        </w:tc>
      </w:tr>
      <w:tr>
        <w:trPr/>
        <w:tc>
          <w:tcPr>
            <w:tcW w:w="370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KAN [2,10,1], G=5</w:t>
            </w:r>
          </w:p>
        </w:tc>
        <w:tc>
          <w:tcPr>
            <w:tcW w:w="200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300</w:t>
            </w:r>
          </w:p>
        </w:tc>
        <w:tc>
          <w:tcPr>
            <w:tcW w:w="36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4.7e-6</w:t>
            </w:r>
          </w:p>
        </w:tc>
      </w:tr>
      <w:tr>
        <w:trPr/>
        <w:tc>
          <w:tcPr>
            <w:tcW w:w="370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MLP [2,10,1] (tanh)</w:t>
            </w:r>
          </w:p>
        </w:tc>
        <w:tc>
          <w:tcPr>
            <w:tcW w:w="200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41</w:t>
            </w:r>
          </w:p>
        </w:tc>
        <w:tc>
          <w:tcPr>
            <w:tcW w:w="36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6.8e-3</w:t>
            </w:r>
          </w:p>
        </w:tc>
      </w:tr>
      <w:tr>
        <w:trPr/>
        <w:tc>
          <w:tcPr>
            <w:tcW w:w="370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MLP [2,100,100,100,1] (tanh)</w:t>
            </w:r>
          </w:p>
        </w:tc>
        <w:tc>
          <w:tcPr>
            <w:tcW w:w="200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20,601</w:t>
            </w:r>
          </w:p>
        </w:tc>
        <w:tc>
          <w:tcPr>
            <w:tcW w:w="36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6.7e-5</w:t>
            </w:r>
          </w:p>
        </w:tc>
      </w:tr>
    </w:tbl>
    <w:p>
      <w:pPr>
        <w:pStyle w:val="Normal"/>
        <w:spacing w:before="0" w:after="160"/>
        <w:rPr/>
      </w:pPr>
      <w:r>
        <w:rPr/>
      </w:r>
    </w:p>
    <w:p>
      <w:pPr>
        <w:pStyle w:val="Normal"/>
        <w:spacing w:lineRule="exact" w:line="276" w:before="0" w:after="120"/>
        <w:rPr/>
      </w:pPr>
      <w:r>
        <w:rPr/>
        <w:t>The width-10 KAN has 69× fewer parameters than the large MLP and about 14× lower error, and the [2,5,1] KAN already matches the large MLP with 137× fewer parameters. This agrees in direction with the paper (10⁻⁷ vs 10⁻⁵ MSE, 10² vs 10⁴ parameters), though my absolute errors are higher. As the paper cautions, the ground truth being a symbolic formula may favour KANs, and KANs were noticeably slower per parameter in my runs as well.</w:t>
      </w:r>
    </w:p>
    <w:p>
      <w:pPr>
        <w:pStyle w:val="Heading1"/>
        <w:rPr/>
      </w:pPr>
      <w:r>
        <w:rPr/>
        <w:t>8. The Paper’s Scientific Applications (not re-run)</w:t>
      </w:r>
    </w:p>
    <w:p>
      <w:pPr>
        <w:pStyle w:val="Heading2"/>
        <w:rPr/>
      </w:pPr>
      <w:r>
        <w:rPr/>
        <w:t>8.1 Knot theory (supervised and unsupervised)</w:t>
      </w:r>
    </w:p>
    <w:p>
      <w:pPr>
        <w:pStyle w:val="Normal"/>
        <w:spacing w:lineRule="exact" w:line="276" w:before="0" w:after="120"/>
        <w:rPr/>
      </w:pPr>
      <w:r>
        <w:rPr/>
        <w:t>The authors revisit the DeepMind knot-signature task. A [17,1,14] KAN (G = 3, k = 3, about 200 parameters) reached 81.6% test accuracy versus 78.0% for DeepMind’s 4-layer, width-300 MLP (about 3×10⁵ parameters). Reading the transparency-scaled KAN diagram shows that the signature depends mostly on the real part of the meridinal translation μ_r, with smaller dependence on μ_i and the longitudinal translation λ; a [3,1,14] KAN on those three variables reaches 78.2%. This differs from DeepMind’s attribution (mostly μ_i); ablations support the KAN view (μ_r alone: 65.0%, μ_i alone: 43.8%). Auto-symbolic regression gives a Pareto family of formulas; formula F, using only μ_r and λ, reaches 77.8%. The authors also note that after their preprint, a 60-parameter MLP was reported to reach 80% accuracy, so the parameter-efficiency advantage over MLPs should be read with care.</w:t>
      </w:r>
    </w:p>
    <w:p>
      <w:pPr>
        <w:pStyle w:val="Normal"/>
        <w:spacing w:lineRule="exact" w:line="276" w:before="0" w:after="120"/>
        <w:rPr/>
      </w:pPr>
      <w:r>
        <w:rPr/>
        <w:t>In unsupervised mode, an [18,1,1] KAN with a Gaussian output activation is trained to separate real feature vectors from column-shuffled ones. Across 200 runs it rediscovered three known relations: signature dependence on (μ_r, λ), cusp volume V = μ_r·λ, and the bound 2r ≥ g_r relating injectivity radius and short geodesic. The authors state candidly that nothing new was discovered.</w:t>
      </w:r>
    </w:p>
    <w:p>
      <w:pPr>
        <w:pStyle w:val="Heading2"/>
        <w:rPr/>
      </w:pPr>
      <w:r>
        <w:rPr/>
        <w:t>8.2 Anderson localization</w:t>
      </w:r>
    </w:p>
    <w:p>
      <w:pPr>
        <w:pStyle w:val="Normal"/>
        <w:spacing w:lineRule="exact" w:line="276" w:before="0" w:after="120"/>
        <w:rPr/>
      </w:pPr>
      <w:r>
        <w:rPr/>
        <w:t>KANs were applied to numerical data from three quasiperiodic tight-binding models to extract mobility edges. For the Mosaic model a [2,1] KAN with sigmoid output and a linear λ edge recovers the mobility-edge curve as a 1-D function of energy. For the generalised Aubry–André model, a [4,2,1,1] KAN reached 98.7%, noticed that the phase ϕ is irrelevant, and with symbolic snapping to linear/quadratic functions yielded a formula close to the true edge αE + 2λ − 2 = 0 (99.0% vs 99.2% for theory). For the more difficult modified Aubry–André model, human guidance (snapping the p-dependence to cosh or to a quadratic) traded accuracy (96.6% / 95.4%) for simpler formulas versus 97.1% fully automatic and 98.6% for theory.</w:t>
      </w:r>
    </w:p>
    <w:p>
      <w:pPr>
        <w:pStyle w:val="Heading2"/>
        <w:rPr/>
      </w:pPr>
      <w:r>
        <w:rPr/>
        <w:t>8.3 Feynman and special-function benchmarks</w:t>
      </w:r>
    </w:p>
    <w:p>
      <w:pPr>
        <w:pStyle w:val="Normal"/>
        <w:spacing w:lineRule="exact" w:line="276" w:before="0" w:after="120"/>
        <w:rPr/>
      </w:pPr>
      <w:r>
        <w:rPr/>
        <w:t>On 15 special functions (Bessel, Legendre, elliptic, spherical harmonics) KANs lay on a better Pareto frontier of parameters vs RMSE than MLPs. On the Feynman equations the authors found MLPs and KANs behave comparably on average, conjecturing that these equations are too smooth or monotonic for KANs to help; auto-discovered KAN shapes were often smaller than human-constructed ones (e.g. relativistic velocity addition collapses to two layers, equivalent to the rapidity trick).</w:t>
      </w:r>
    </w:p>
    <w:p>
      <w:pPr>
        <w:pStyle w:val="Heading1"/>
        <w:rPr/>
      </w:pPr>
      <w:r>
        <w:rPr/>
        <w:t>9. Critical Discussion</w:t>
      </w:r>
    </w:p>
    <w:p>
      <w:pPr>
        <w:pStyle w:val="Heading2"/>
        <w:rPr/>
      </w:pPr>
      <w:r>
        <w:rPr/>
        <w:t>9.1 Strengths</w:t>
      </w:r>
    </w:p>
    <w:p>
      <w:pPr>
        <w:pStyle w:val="ListParagraph"/>
        <w:numPr>
          <w:ilvl w:val="0"/>
          <w:numId w:val="1"/>
        </w:numPr>
        <w:spacing w:before="0" w:after="60"/>
        <w:rPr/>
      </w:pPr>
      <w:r>
        <w:rPr/>
        <w:t>A clear, simple idea with a well-defined mathematical motivation, and a usable open-source library.</w:t>
      </w:r>
    </w:p>
    <w:p>
      <w:pPr>
        <w:pStyle w:val="ListParagraph"/>
        <w:numPr>
          <w:ilvl w:val="0"/>
          <w:numId w:val="1"/>
        </w:numPr>
        <w:spacing w:before="0" w:after="60"/>
        <w:rPr/>
      </w:pPr>
      <w:r>
        <w:rPr/>
        <w:t>Interpretability is real for small symbolic problems: pruning plus symbolification recovered the target formula in my own experiment.</w:t>
      </w:r>
    </w:p>
    <w:p>
      <w:pPr>
        <w:pStyle w:val="ListParagraph"/>
        <w:numPr>
          <w:ilvl w:val="0"/>
          <w:numId w:val="1"/>
        </w:numPr>
        <w:spacing w:before="0" w:after="60"/>
        <w:rPr/>
      </w:pPr>
      <w:r>
        <w:rPr/>
        <w:t>Honest reporting of limitations: slow training (about 10× slower than MLPs), toy-level continual learning, no new mathematical discoveries.</w:t>
      </w:r>
    </w:p>
    <w:p>
      <w:pPr>
        <w:pStyle w:val="Heading2"/>
        <w:rPr/>
      </w:pPr>
      <w:r>
        <w:rPr/>
        <w:t>9.2 Weaknesses and open questions</w:t>
      </w:r>
    </w:p>
    <w:p>
      <w:pPr>
        <w:pStyle w:val="ListParagraph"/>
        <w:numPr>
          <w:ilvl w:val="0"/>
          <w:numId w:val="1"/>
        </w:numPr>
        <w:spacing w:before="0" w:after="60"/>
        <w:rPr/>
      </w:pPr>
      <w:r>
        <w:rPr/>
        <w:t>The theory assumes a smooth KA representation exists and that training finds it; neither is guaranteed. The constant C in Eq. (4) may hide dimension dependence.</w:t>
      </w:r>
    </w:p>
    <w:p>
      <w:pPr>
        <w:pStyle w:val="ListParagraph"/>
        <w:numPr>
          <w:ilvl w:val="0"/>
          <w:numId w:val="1"/>
        </w:numPr>
        <w:spacing w:before="0" w:after="60"/>
        <w:rPr/>
      </w:pPr>
      <w:r>
        <w:rPr/>
        <w:t>The claimed α = 4 scaling was shown on synthetic functions only; my own reproduction did not reach it with a modest compute budget.</w:t>
      </w:r>
    </w:p>
    <w:p>
      <w:pPr>
        <w:pStyle w:val="ListParagraph"/>
        <w:numPr>
          <w:ilvl w:val="0"/>
          <w:numId w:val="1"/>
        </w:numPr>
        <w:spacing w:before="0" w:after="60"/>
        <w:rPr/>
      </w:pPr>
      <w:r>
        <w:rPr/>
        <w:t>Comparisons use plain LBFGS for both families on small problems; stronger MLP baselines were left for future work.</w:t>
      </w:r>
    </w:p>
    <w:p>
      <w:pPr>
        <w:pStyle w:val="ListParagraph"/>
        <w:numPr>
          <w:ilvl w:val="0"/>
          <w:numId w:val="1"/>
        </w:numPr>
        <w:spacing w:before="0" w:after="60"/>
        <w:rPr/>
      </w:pPr>
      <w:r>
        <w:rPr/>
        <w:t>Interpretability depends on human choices (λ, grid size, seeds); the paper’s own hyperparameter study shows pruned networks can come out larger than needed with unlucky seeds.</w:t>
      </w:r>
    </w:p>
    <w:p>
      <w:pPr>
        <w:pStyle w:val="ListParagraph"/>
        <w:numPr>
          <w:ilvl w:val="0"/>
          <w:numId w:val="1"/>
        </w:numPr>
        <w:spacing w:before="0" w:after="60"/>
        <w:rPr/>
      </w:pPr>
      <w:r>
        <w:rPr/>
        <w:t>Accuracy results on the knot dataset have since been matched by far smaller MLPs, weakening the parameter-efficiency argument.</w:t>
      </w:r>
    </w:p>
    <w:p>
      <w:pPr>
        <w:pStyle w:val="ListParagraph"/>
        <w:numPr>
          <w:ilvl w:val="0"/>
          <w:numId w:val="1"/>
        </w:numPr>
        <w:spacing w:before="0" w:after="60"/>
        <w:rPr/>
      </w:pPr>
      <w:r>
        <w:rPr/>
        <w:t>It is unclear whether KANs scale to high-dimensional, non-symbolic tasks such as language modelling; the authors suggest “kansformers” as future work.</w:t>
      </w:r>
    </w:p>
    <w:p>
      <w:pPr>
        <w:pStyle w:val="Heading2"/>
        <w:rPr/>
      </w:pPr>
      <w:r>
        <w:rPr/>
        <w:t>9.3 Practical guidance (paper’s Figure 6.1)</w:t>
      </w:r>
    </w:p>
    <w:p>
      <w:pPr>
        <w:pStyle w:val="Normal"/>
        <w:spacing w:lineRule="exact" w:line="276" w:before="0" w:after="120"/>
        <w:rPr/>
      </w:pPr>
      <w:r>
        <w:rPr/>
        <w:t>Use KANs when interpretability and accuracy matter, the problem is small-scale and compositional, and slow training is not a major concern. Use MLPs when training speed is paramount.</w:t>
      </w:r>
    </w:p>
    <w:p>
      <w:pPr>
        <w:pStyle w:val="Heading1"/>
        <w:rPr/>
      </w:pPr>
      <w:r>
        <w:rPr/>
        <w:t>10. Conclusion</w:t>
      </w:r>
    </w:p>
    <w:p>
      <w:pPr>
        <w:pStyle w:val="Normal"/>
        <w:spacing w:lineRule="exact" w:line="276" w:before="0" w:after="120"/>
        <w:rPr/>
      </w:pPr>
      <w:r>
        <w:rPr/>
        <w:t>KANs are a thoughtfully designed alternative to MLPs that trade training speed for parameter efficiency and transparency. My from-scratch implementation reproduced the qualitative claims about symbolic recovery, parameter-efficient PDE solving and continual learning, partially reproduced the scaling and grid-extension claims, and did not reproduce the best-case numerical accuracy of the paper. The approach is most convincing as a scientific discovery tool for small problems, and least proven as a general replacement for MLPs.</w:t>
      </w:r>
    </w:p>
    <w:p>
      <w:pPr>
        <w:pStyle w:val="Heading1"/>
        <w:rPr/>
      </w:pPr>
      <w:r>
        <w:rPr/>
        <w:t>Appendix A. Reproducing this work</w:t>
      </w:r>
    </w:p>
    <w:p>
      <w:pPr>
        <w:pStyle w:val="Normal"/>
        <w:spacing w:lineRule="exact" w:line="276" w:before="0" w:after="120"/>
        <w:rPr/>
      </w:pPr>
      <w:r>
        <w:rPr/>
        <w:t xml:space="preserve">Install dependencies with </w:t>
      </w:r>
      <w:r>
        <w:rPr>
          <w:rFonts w:eastAsia="Consolas" w:cs="Consolas" w:ascii="Consolas" w:hAnsi="Consolas"/>
          <w:sz w:val="20"/>
          <w:szCs w:val="20"/>
        </w:rPr>
        <w:t>pip install -r requirements.txt</w:t>
      </w:r>
      <w:r>
        <w:rPr/>
        <w:t xml:space="preserve"> and run </w:t>
      </w:r>
      <w:r>
        <w:rPr>
          <w:rFonts w:eastAsia="Consolas" w:cs="Consolas" w:ascii="Consolas" w:hAnsi="Consolas"/>
          <w:sz w:val="20"/>
          <w:szCs w:val="20"/>
        </w:rPr>
        <w:t>./run_all.sh</w:t>
      </w:r>
      <w:r>
        <w:rPr/>
        <w:t>. Scripts write figures and JSON to results/. Hyperparameters: cubic splines (k = 3); G = 3 → 50; LBFGS with strong-Wolfe line search; single seed per experiment (set in each script); float64.</w:t>
      </w:r>
    </w:p>
    <w:p>
      <w:pPr>
        <w:pStyle w:val="Heading1"/>
        <w:rPr/>
      </w:pPr>
      <w:r>
        <w:rPr/>
        <w:t>Appendix B. Mathematical Details</w:t>
      </w:r>
    </w:p>
    <w:p>
      <w:pPr>
        <w:pStyle w:val="Heading2"/>
        <w:rPr/>
      </w:pPr>
      <w:r>
        <w:rPr/>
        <w:t>B.1 B-spline basis (Cox–de Boor recursion)</w:t>
      </w:r>
    </w:p>
    <w:p>
      <w:pPr>
        <w:pStyle w:val="Normal"/>
        <w:spacing w:lineRule="exact" w:line="276" w:before="0" w:after="120"/>
        <w:rPr/>
      </w:pPr>
      <w:r>
        <w:rPr/>
        <w:t>For a knot vector t (the G+1 grid points augmented with k extra knots on each side), the order-0 basis is B_{i,0}(x) = 1 if t_i ≤ x &lt; t_{i+1} and 0 otherwise. Higher orders follow the recursion used in kan/layer.py:</w:t>
      </w:r>
    </w:p>
    <w:p>
      <w:pPr>
        <w:pStyle w:val="Normal"/>
        <w:spacing w:before="60" w:after="120"/>
        <w:jc w:val="center"/>
        <w:rPr/>
      </w:pPr>
      <w:r>
        <w:rPr>
          <w:rFonts w:eastAsia="Cambria Math" w:cs="Cambria Math" w:ascii="Cambria Math" w:hAnsi="Cambria Math"/>
          <w:i/>
          <w:iCs/>
        </w:rPr>
        <w:t>B_{i,p}(x) = (x − t_i)/(t_{i+p} − t_i) · B_{i,p−1}(x) + (t_{i+p+1} − x)/(t_{i+p+1} − t_{i+1}) · B_{i+1,p−1}(x)</w:t>
      </w:r>
    </w:p>
    <w:p>
      <w:pPr>
        <w:pStyle w:val="Normal"/>
        <w:spacing w:lineRule="exact" w:line="276" w:before="0" w:after="120"/>
        <w:rPr/>
      </w:pPr>
      <w:r>
        <w:rPr/>
        <w:t>With k = 3 and G intervals there are G + k basis functions, each non-zero on at most k + 1 consecutive intervals; this local support is the property that makes grid extension and continual learning possible. The basis forms a partition of unity (Σ_i B_i(x) = 1 inside the grid), which I verified numerically (error below 2×10⁻⁷).</w:t>
      </w:r>
    </w:p>
    <w:p>
      <w:pPr>
        <w:pStyle w:val="Heading2"/>
        <w:rPr/>
      </w:pPr>
      <w:r>
        <w:rPr/>
        <w:t>B.2 Grid extension as a least-squares problem</w:t>
      </w:r>
    </w:p>
    <w:p>
      <w:pPr>
        <w:pStyle w:val="Normal"/>
        <w:spacing w:lineRule="exact" w:line="276" w:before="0" w:after="120"/>
        <w:rPr/>
      </w:pPr>
      <w:r>
        <w:rPr/>
        <w:t>Let B be the (samples × (G₂+k)) matrix of new basis values and y the values of the old spline at the same samples. Eq. (5) is solved by the regularised normal equations (BᵀB + εI) c′ = Bᵀ y, with ε = 10⁻⁸ for numerical stability. When the new grid contains the old knots (for example G = 5 → 10) the old spline lies exactly in the new space, so the fit is exact up to round-off; for non-nested pairs (3 → 5) it is only approximate, which explains the loss spikes after extension in my Figure 2.</w:t>
      </w:r>
    </w:p>
    <w:p>
      <w:pPr>
        <w:pStyle w:val="Heading2"/>
        <w:rPr/>
      </w:pPr>
      <w:r>
        <w:rPr/>
        <w:t>B.3 Regularisation terms</w:t>
      </w:r>
    </w:p>
    <w:p>
      <w:pPr>
        <w:pStyle w:val="Normal"/>
        <w:spacing w:lineRule="exact" w:line="276" w:before="0" w:after="120"/>
        <w:rPr/>
      </w:pPr>
      <w:r>
        <w:rPr/>
        <w:t>For a layer with activations φ_{ij}, define the batch-mean magnitude |φ_{ij}|₁ and the layer norm |Φ|₁ = Σ_{ij} |φ_{ij}|₁. The probability-like weights p_{ij} = |φ_{ij}|₁ / |Φ|₁ give the entropy S(Φ) = −Σ p_{ij} log p_{ij}. Minimising S concentrates mass on few edges, which L1 alone does not guarantee because L1 can be reduced by shrinking all edges uniformly. In my code (forward_reg) both terms are computed with gradients through the post-activations; the default is μ₁ = μ₂ = 1 with λ chosen per task (3×10⁻³ in the symbolic experiment).</w:t>
      </w:r>
    </w:p>
    <w:p>
      <w:pPr>
        <w:pStyle w:val="Heading2"/>
        <w:rPr/>
      </w:pPr>
      <w:r>
        <w:rPr/>
        <w:t>B.4 Proof sketch of Theorem 2.1</w:t>
      </w:r>
    </w:p>
    <w:p>
      <w:pPr>
        <w:pStyle w:val="ListParagraph"/>
        <w:numPr>
          <w:ilvl w:val="0"/>
          <w:numId w:val="1"/>
        </w:numPr>
        <w:spacing w:before="0" w:after="60"/>
        <w:rPr/>
      </w:pPr>
      <w:r>
        <w:rPr/>
        <w:t>Step 1. By classical 1-D spline approximation (de Boor), each (k+1)-times differentiable univariate map has a k-th order spline with error O(G^{−k−1+m}) in C^m.</w:t>
      </w:r>
    </w:p>
    <w:p>
      <w:pPr>
        <w:pStyle w:val="ListParagraph"/>
        <w:numPr>
          <w:ilvl w:val="0"/>
          <w:numId w:val="1"/>
        </w:numPr>
        <w:spacing w:before="0" w:after="60"/>
        <w:rPr/>
      </w:pPr>
      <w:r>
        <w:rPr/>
        <w:t>Step 2. Because the composition inputs stay in a bounded domain, the constant is uniform over the layers.</w:t>
      </w:r>
    </w:p>
    <w:p>
      <w:pPr>
        <w:pStyle w:val="ListParagraph"/>
        <w:numPr>
          <w:ilvl w:val="0"/>
          <w:numId w:val="1"/>
        </w:numPr>
        <w:spacing w:before="0" w:after="60"/>
        <w:rPr/>
      </w:pPr>
      <w:r>
        <w:rPr/>
        <w:t>Step 3. Define the residual R_l as the change in the full network output when only layer l is replaced by its spline approximant. Then f − KAN^G = R_{L−1} + … + R_0 (telescoping sum), and each ‖R_l‖_{C^m} ≤ C G^{−k−1+m}.</w:t>
      </w:r>
    </w:p>
    <w:p>
      <w:pPr>
        <w:pStyle w:val="ListParagraph"/>
        <w:numPr>
          <w:ilvl w:val="0"/>
          <w:numId w:val="1"/>
        </w:numPr>
        <w:spacing w:before="0" w:after="60"/>
        <w:rPr/>
      </w:pPr>
      <w:r>
        <w:rPr/>
        <w:t>Conclusion. The total error is O(G^{−k−1+m}); for m = 0 the exponent is k + 1 = 4 in terms of grid size, with no explicit dependence on input dimension (the constant C may depend on it).</w:t>
      </w:r>
    </w:p>
    <w:p>
      <w:pPr>
        <w:pStyle w:val="Normal"/>
        <w:spacing w:lineRule="exact" w:line="276" w:before="0" w:after="120"/>
        <w:rPr/>
      </w:pPr>
      <w:r>
        <w:rPr>
          <w:b/>
          <w:bCs/>
        </w:rPr>
        <w:t xml:space="preserve">Note: </w:t>
      </w:r>
      <w:r>
        <w:rPr/>
        <w:t>the rate is in grid size G, whereas scaling laws are quoted against parameter count N. For fixed width and depth, N grows linearly in G, so the exponents coincide; this is the sense in which the paper states α = 4.</w:t>
      </w:r>
    </w:p>
    <w:p>
      <w:pPr>
        <w:pStyle w:val="Heading1"/>
        <w:rPr/>
      </w:pPr>
      <w:r>
        <w:rPr/>
        <w:t>Appendix C. Detailed Experimental Settings (my runs)</w:t>
      </w:r>
    </w:p>
    <w:tbl>
      <w:tblPr>
        <w:tblW w:w="9360" w:type="dxa"/>
        <w:jc w:val="left"/>
        <w:tblInd w:w="0" w:type="dxa"/>
        <w:tblLayout w:type="fixed"/>
        <w:tblCellMar>
          <w:top w:w="60" w:type="dxa"/>
          <w:left w:w="100" w:type="dxa"/>
          <w:bottom w:w="60" w:type="dxa"/>
          <w:right w:w="100" w:type="dxa"/>
        </w:tblCellMar>
      </w:tblPr>
      <w:tblGrid>
        <w:gridCol w:w="2199"/>
        <w:gridCol w:w="7160"/>
      </w:tblGrid>
      <w:tr>
        <w:trPr>
          <w:tblHeader w:val="true"/>
        </w:trPr>
        <w:tc>
          <w:tcPr>
            <w:tcW w:w="2199" w:type="dxa"/>
            <w:tcBorders>
              <w:top w:val="single" w:sz="4" w:space="0" w:color="999999"/>
              <w:left w:val="single" w:sz="4" w:space="0" w:color="999999"/>
              <w:bottom w:val="single" w:sz="4" w:space="0" w:color="999999"/>
              <w:right w:val="single" w:sz="4" w:space="0" w:color="999999"/>
            </w:tcBorders>
            <w:shd w:color="auto" w:fill="1F4E79" w:val="clear"/>
          </w:tcPr>
          <w:p>
            <w:pPr>
              <w:pStyle w:val="Normal"/>
              <w:rPr/>
            </w:pPr>
            <w:r>
              <w:rPr>
                <w:b/>
                <w:bCs/>
                <w:color w:val="FFFFFF"/>
                <w:sz w:val="20"/>
                <w:szCs w:val="20"/>
              </w:rPr>
              <w:t>Experiment</w:t>
            </w:r>
          </w:p>
        </w:tc>
        <w:tc>
          <w:tcPr>
            <w:tcW w:w="7160" w:type="dxa"/>
            <w:tcBorders>
              <w:top w:val="single" w:sz="4" w:space="0" w:color="999999"/>
              <w:left w:val="single" w:sz="4" w:space="0" w:color="999999"/>
              <w:bottom w:val="single" w:sz="4" w:space="0" w:color="999999"/>
              <w:right w:val="single" w:sz="4" w:space="0" w:color="999999"/>
            </w:tcBorders>
            <w:shd w:color="auto" w:fill="1F4E79" w:val="clear"/>
          </w:tcPr>
          <w:p>
            <w:pPr>
              <w:pStyle w:val="Normal"/>
              <w:rPr/>
            </w:pPr>
            <w:r>
              <w:rPr>
                <w:b/>
                <w:bCs/>
                <w:color w:val="FFFFFF"/>
                <w:sz w:val="20"/>
                <w:szCs w:val="20"/>
              </w:rPr>
              <w:t>Settings</w:t>
            </w:r>
          </w:p>
        </w:tc>
      </w:tr>
      <w:tr>
        <w:trPr/>
        <w:tc>
          <w:tcPr>
            <w:tcW w:w="21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Data</w:t>
            </w:r>
          </w:p>
        </w:tc>
        <w:tc>
          <w:tcPr>
            <w:tcW w:w="71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Inputs uniform on [−1,1]²; 1,000 train and 1,000 test points (2,000 train for the symbolic experiment); float64.</w:t>
            </w:r>
          </w:p>
        </w:tc>
      </w:tr>
      <w:tr>
        <w:trPr/>
        <w:tc>
          <w:tcPr>
            <w:tcW w:w="21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Grid extension (exp1)</w:t>
            </w:r>
          </w:p>
        </w:tc>
        <w:tc>
          <w:tcPr>
            <w:tcW w:w="71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KAN [2,1,1] and [2,5,1]; k = 3; G = 3, 5, 10, 20, 50; 120 LBFGS steps per grid (strong-Wolfe, history 10, lr 1); seed 1; best-train iterate restored per stage.</w:t>
            </w:r>
          </w:p>
        </w:tc>
      </w:tr>
      <w:tr>
        <w:trPr/>
        <w:tc>
          <w:tcPr>
            <w:tcW w:w="21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Scaling (exp2)</w:t>
            </w:r>
          </w:p>
        </w:tc>
        <w:tc>
          <w:tcPr>
            <w:tcW w:w="71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Tasks exp(sin(πx)+y²) with KAN [2,1,1] and x·y with KAN [2,2,1]; G = 3, 5, 10, 20; MLP depth 2 and 3, widths 5, 10, 20, 40, SiLU, 300 LBFGS steps; seed 0.</w:t>
            </w:r>
          </w:p>
        </w:tc>
      </w:tr>
      <w:tr>
        <w:trPr/>
        <w:tc>
          <w:tcPr>
            <w:tcW w:w="21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Symbolic (exp3)</w:t>
            </w:r>
          </w:p>
        </w:tc>
        <w:tc>
          <w:tcPr>
            <w:tcW w:w="71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KAN [2,5,1], G = 5, 60 LBFGS steps with λ = 3×10⁻³, prune θ = 10⁻², then 40 steps; affine grid search over a, b ∈ [−10, 10] (101-point grid, 3 refinements).</w:t>
            </w:r>
          </w:p>
        </w:tc>
      </w:tr>
      <w:tr>
        <w:trPr/>
        <w:tc>
          <w:tcPr>
            <w:tcW w:w="21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Continual (exp4)</w:t>
            </w:r>
          </w:p>
        </w:tc>
        <w:tc>
          <w:tcPr>
            <w:tcW w:w="71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Five Gaussians (σ = 0.06) centred at −0.8 … 0.8; 300 samples per phase within ±0.16 of a centre; Adam lr 10⁻², 800 steps per phase; KAN [1,1], G = 50, w_b = 0 and w_s frozen; MLP [1,64,64,1] SiLU.</w:t>
            </w:r>
          </w:p>
        </w:tc>
      </w:tr>
      <w:tr>
        <w:trPr/>
        <w:tc>
          <w:tcPr>
            <w:tcW w:w="21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Poisson PINN (exp5)</w:t>
            </w:r>
          </w:p>
        </w:tc>
        <w:tc>
          <w:tcPr>
            <w:tcW w:w="71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30×30 interior grid, 200 boundary points, α = 0.01; 40 LBFGS steps; test MSE on 4,000 random points; KAN G = 5, MLPs with tanh.</w:t>
            </w:r>
          </w:p>
        </w:tc>
      </w:tr>
    </w:tbl>
    <w:p>
      <w:pPr>
        <w:pStyle w:val="Normal"/>
        <w:spacing w:before="0" w:after="160"/>
        <w:rPr/>
      </w:pPr>
      <w:r>
        <w:rPr/>
      </w:r>
    </w:p>
    <w:p>
      <w:pPr>
        <w:pStyle w:val="Normal"/>
        <w:spacing w:lineRule="exact" w:line="276" w:before="0" w:after="120"/>
        <w:rPr/>
      </w:pPr>
      <w:r>
        <w:rPr>
          <w:b/>
          <w:bCs/>
        </w:rPr>
        <w:t xml:space="preserve">Threats to validity. </w:t>
      </w:r>
      <w:r>
        <w:rPr/>
        <w:t>Single seeds, short optimisation, one CPU core, and LBFGS for both model families mean that absolute numbers and small differences are not conclusive. The qualitative outcomes (symbolic recovery, parameter-efficient PDE solve, spline locality) are robust in the sense that they differ from their baselines by large factors.</w:t>
      </w:r>
    </w:p>
    <w:p>
      <w:pPr>
        <w:pStyle w:val="Heading1"/>
        <w:rPr/>
      </w:pPr>
      <w:r>
        <w:rPr/>
        <w:t>Appendix D. Additional Tables from the Paper</w:t>
      </w:r>
    </w:p>
    <w:p>
      <w:pPr>
        <w:pStyle w:val="Heading2"/>
        <w:rPr/>
      </w:pPr>
      <w:r>
        <w:rPr/>
        <w:t>D.1 Knot signature: symbolic formulas (paper Table 4, summarised)</w:t>
      </w:r>
    </w:p>
    <w:tbl>
      <w:tblPr>
        <w:tblW w:w="9360" w:type="dxa"/>
        <w:jc w:val="left"/>
        <w:tblInd w:w="0" w:type="dxa"/>
        <w:tblLayout w:type="fixed"/>
        <w:tblCellMar>
          <w:top w:w="60" w:type="dxa"/>
          <w:left w:w="100" w:type="dxa"/>
          <w:bottom w:w="60" w:type="dxa"/>
          <w:right w:w="100" w:type="dxa"/>
        </w:tblCellMar>
      </w:tblPr>
      <w:tblGrid>
        <w:gridCol w:w="900"/>
        <w:gridCol w:w="4160"/>
        <w:gridCol w:w="2000"/>
        <w:gridCol w:w="2299"/>
      </w:tblGrid>
      <w:tr>
        <w:trPr>
          <w:tblHeader w:val="true"/>
        </w:trPr>
        <w:tc>
          <w:tcPr>
            <w:tcW w:w="900" w:type="dxa"/>
            <w:tcBorders>
              <w:top w:val="single" w:sz="4" w:space="0" w:color="999999"/>
              <w:left w:val="single" w:sz="4" w:space="0" w:color="999999"/>
              <w:bottom w:val="single" w:sz="4" w:space="0" w:color="999999"/>
              <w:right w:val="single" w:sz="4" w:space="0" w:color="999999"/>
            </w:tcBorders>
            <w:shd w:color="auto" w:fill="1F4E79" w:val="clear"/>
          </w:tcPr>
          <w:p>
            <w:pPr>
              <w:pStyle w:val="Normal"/>
              <w:rPr/>
            </w:pPr>
            <w:r>
              <w:rPr>
                <w:b/>
                <w:bCs/>
                <w:color w:val="FFFFFF"/>
                <w:sz w:val="20"/>
                <w:szCs w:val="20"/>
              </w:rPr>
              <w:t>ID</w:t>
            </w:r>
          </w:p>
        </w:tc>
        <w:tc>
          <w:tcPr>
            <w:tcW w:w="4160" w:type="dxa"/>
            <w:tcBorders>
              <w:top w:val="single" w:sz="4" w:space="0" w:color="999999"/>
              <w:left w:val="single" w:sz="4" w:space="0" w:color="999999"/>
              <w:bottom w:val="single" w:sz="4" w:space="0" w:color="999999"/>
              <w:right w:val="single" w:sz="4" w:space="0" w:color="999999"/>
            </w:tcBorders>
            <w:shd w:color="auto" w:fill="1F4E79" w:val="clear"/>
          </w:tcPr>
          <w:p>
            <w:pPr>
              <w:pStyle w:val="Normal"/>
              <w:rPr/>
            </w:pPr>
            <w:r>
              <w:rPr>
                <w:b/>
                <w:bCs/>
                <w:color w:val="FFFFFF"/>
                <w:sz w:val="20"/>
                <w:szCs w:val="20"/>
              </w:rPr>
              <w:t>Formula / origin</w:t>
            </w:r>
          </w:p>
        </w:tc>
        <w:tc>
          <w:tcPr>
            <w:tcW w:w="2000" w:type="dxa"/>
            <w:tcBorders>
              <w:top w:val="single" w:sz="4" w:space="0" w:color="999999"/>
              <w:left w:val="single" w:sz="4" w:space="0" w:color="999999"/>
              <w:bottom w:val="single" w:sz="4" w:space="0" w:color="999999"/>
              <w:right w:val="single" w:sz="4" w:space="0" w:color="999999"/>
            </w:tcBorders>
            <w:shd w:color="auto" w:fill="1F4E79" w:val="clear"/>
          </w:tcPr>
          <w:p>
            <w:pPr>
              <w:pStyle w:val="Normal"/>
              <w:rPr/>
            </w:pPr>
            <w:r>
              <w:rPr>
                <w:b/>
                <w:bCs/>
                <w:color w:val="FFFFFF"/>
                <w:sz w:val="20"/>
                <w:szCs w:val="20"/>
              </w:rPr>
              <w:t>Source</w:t>
            </w:r>
          </w:p>
        </w:tc>
        <w:tc>
          <w:tcPr>
            <w:tcW w:w="2299" w:type="dxa"/>
            <w:tcBorders>
              <w:top w:val="single" w:sz="4" w:space="0" w:color="999999"/>
              <w:left w:val="single" w:sz="4" w:space="0" w:color="999999"/>
              <w:bottom w:val="single" w:sz="4" w:space="0" w:color="999999"/>
              <w:right w:val="single" w:sz="4" w:space="0" w:color="999999"/>
            </w:tcBorders>
            <w:shd w:color="auto" w:fill="1F4E79" w:val="clear"/>
          </w:tcPr>
          <w:p>
            <w:pPr>
              <w:pStyle w:val="Normal"/>
              <w:rPr/>
            </w:pPr>
            <w:r>
              <w:rPr>
                <w:b/>
                <w:bCs/>
                <w:color w:val="FFFFFF"/>
                <w:sz w:val="20"/>
                <w:szCs w:val="20"/>
              </w:rPr>
              <w:t>Test accuracy</w:t>
            </w:r>
          </w:p>
        </w:tc>
      </w:tr>
      <w:tr>
        <w:trPr/>
        <w:tc>
          <w:tcPr>
            <w:tcW w:w="90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A</w:t>
            </w:r>
          </w:p>
        </w:tc>
        <w:tc>
          <w:tcPr>
            <w:tcW w:w="41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λ·μ_r / (μ_r² + μ_i²) (the slope)</w:t>
            </w:r>
          </w:p>
        </w:tc>
        <w:tc>
          <w:tcPr>
            <w:tcW w:w="200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Human (DeepMind)</w:t>
            </w:r>
          </w:p>
        </w:tc>
        <w:tc>
          <w:tcPr>
            <w:tcW w:w="22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83.1%</w:t>
            </w:r>
          </w:p>
        </w:tc>
      </w:tr>
      <w:tr>
        <w:trPr/>
        <w:tc>
          <w:tcPr>
            <w:tcW w:w="90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B</w:t>
            </w:r>
          </w:p>
        </w:tc>
        <w:tc>
          <w:tcPr>
            <w:tcW w:w="41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Compact expression in sin, |·|, Gaussian bumps</w:t>
            </w:r>
          </w:p>
        </w:tc>
        <w:tc>
          <w:tcPr>
            <w:tcW w:w="200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[3,1] KAN</w:t>
            </w:r>
          </w:p>
        </w:tc>
        <w:tc>
          <w:tcPr>
            <w:tcW w:w="22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62.6%</w:t>
            </w:r>
          </w:p>
        </w:tc>
      </w:tr>
      <w:tr>
        <w:trPr/>
        <w:tc>
          <w:tcPr>
            <w:tcW w:w="90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C</w:t>
            </w:r>
          </w:p>
        </w:tc>
        <w:tc>
          <w:tcPr>
            <w:tcW w:w="41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tan(·) of a sum of Gaussian bumps in μ_i, λ, μ_r</w:t>
            </w:r>
          </w:p>
        </w:tc>
        <w:tc>
          <w:tcPr>
            <w:tcW w:w="200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[3,1,1] KAN</w:t>
            </w:r>
          </w:p>
        </w:tc>
        <w:tc>
          <w:tcPr>
            <w:tcW w:w="22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71.9%</w:t>
            </w:r>
          </w:p>
        </w:tc>
      </w:tr>
      <w:tr>
        <w:trPr/>
        <w:tc>
          <w:tcPr>
            <w:tcW w:w="90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D</w:t>
            </w:r>
          </w:p>
        </w:tc>
        <w:tc>
          <w:tcPr>
            <w:tcW w:w="41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Nested exponentials and arctan terms</w:t>
            </w:r>
          </w:p>
        </w:tc>
        <w:tc>
          <w:tcPr>
            <w:tcW w:w="200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[3,2,1] KAN</w:t>
            </w:r>
          </w:p>
        </w:tc>
        <w:tc>
          <w:tcPr>
            <w:tcW w:w="22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84.0%</w:t>
            </w:r>
          </w:p>
        </w:tc>
      </w:tr>
      <w:tr>
        <w:trPr/>
        <w:tc>
          <w:tcPr>
            <w:tcW w:w="90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E</w:t>
            </w:r>
          </w:p>
        </w:tc>
        <w:tc>
          <w:tcPr>
            <w:tcW w:w="41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4.76 λ μ_r / (3.09 μ_i + 6.05 μ_r² + 3.54 μ_i²)</w:t>
            </w:r>
          </w:p>
        </w:tc>
        <w:tc>
          <w:tcPr>
            <w:tcW w:w="200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[3,2,1] KAN + Padé</w:t>
            </w:r>
          </w:p>
        </w:tc>
        <w:tc>
          <w:tcPr>
            <w:tcW w:w="22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82.8%</w:t>
            </w:r>
          </w:p>
        </w:tc>
      </w:tr>
      <w:tr>
        <w:trPr/>
        <w:tc>
          <w:tcPr>
            <w:tcW w:w="90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F</w:t>
            </w:r>
          </w:p>
        </w:tc>
        <w:tc>
          <w:tcPr>
            <w:tcW w:w="41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Ratio using only μ_r and λ</w:t>
            </w:r>
          </w:p>
        </w:tc>
        <w:tc>
          <w:tcPr>
            <w:tcW w:w="200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Two [3,1] KANs</w:t>
            </w:r>
          </w:p>
        </w:tc>
        <w:tc>
          <w:tcPr>
            <w:tcW w:w="22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77.8%</w:t>
            </w:r>
          </w:p>
        </w:tc>
      </w:tr>
    </w:tbl>
    <w:p>
      <w:pPr>
        <w:pStyle w:val="Normal"/>
        <w:spacing w:before="0" w:after="160"/>
        <w:rPr/>
      </w:pPr>
      <w:r>
        <w:rPr/>
      </w:r>
    </w:p>
    <w:p>
      <w:pPr>
        <w:pStyle w:val="Normal"/>
        <w:spacing w:lineRule="exact" w:line="276" w:before="0" w:after="120"/>
        <w:rPr/>
      </w:pPr>
      <w:r>
        <w:rPr/>
        <w:t>Larger KANs give higher accuracy and more complex formulas (B → C → D), so KANs expose a whole Pareto frontier of accuracy versus simplicity. Adding an inductive bias (Padé form, or separate numerator and denominator networks) brings the discovered formula close to the human one.</w:t>
      </w:r>
    </w:p>
    <w:p>
      <w:pPr>
        <w:pStyle w:val="Heading2"/>
        <w:rPr/>
      </w:pPr>
      <w:r>
        <w:rPr/>
        <w:t>D.2 Anderson localization accuracies (paper Table 5, summarised)</w:t>
      </w:r>
    </w:p>
    <w:tbl>
      <w:tblPr>
        <w:tblW w:w="9360" w:type="dxa"/>
        <w:jc w:val="left"/>
        <w:tblInd w:w="0" w:type="dxa"/>
        <w:tblLayout w:type="fixed"/>
        <w:tblCellMar>
          <w:top w:w="60" w:type="dxa"/>
          <w:left w:w="100" w:type="dxa"/>
          <w:bottom w:w="60" w:type="dxa"/>
          <w:right w:w="100" w:type="dxa"/>
        </w:tblCellMar>
      </w:tblPr>
      <w:tblGrid>
        <w:gridCol w:w="2299"/>
        <w:gridCol w:w="3860"/>
        <w:gridCol w:w="1501"/>
        <w:gridCol w:w="1699"/>
      </w:tblGrid>
      <w:tr>
        <w:trPr>
          <w:tblHeader w:val="true"/>
        </w:trPr>
        <w:tc>
          <w:tcPr>
            <w:tcW w:w="2299" w:type="dxa"/>
            <w:tcBorders>
              <w:top w:val="single" w:sz="4" w:space="0" w:color="999999"/>
              <w:left w:val="single" w:sz="4" w:space="0" w:color="999999"/>
              <w:bottom w:val="single" w:sz="4" w:space="0" w:color="999999"/>
              <w:right w:val="single" w:sz="4" w:space="0" w:color="999999"/>
            </w:tcBorders>
            <w:shd w:color="auto" w:fill="1F4E79" w:val="clear"/>
          </w:tcPr>
          <w:p>
            <w:pPr>
              <w:pStyle w:val="Normal"/>
              <w:rPr/>
            </w:pPr>
            <w:r>
              <w:rPr>
                <w:b/>
                <w:bCs/>
                <w:color w:val="FFFFFF"/>
                <w:sz w:val="20"/>
                <w:szCs w:val="20"/>
              </w:rPr>
              <w:t>System</w:t>
            </w:r>
          </w:p>
        </w:tc>
        <w:tc>
          <w:tcPr>
            <w:tcW w:w="3860" w:type="dxa"/>
            <w:tcBorders>
              <w:top w:val="single" w:sz="4" w:space="0" w:color="999999"/>
              <w:left w:val="single" w:sz="4" w:space="0" w:color="999999"/>
              <w:bottom w:val="single" w:sz="4" w:space="0" w:color="999999"/>
              <w:right w:val="single" w:sz="4" w:space="0" w:color="999999"/>
            </w:tcBorders>
            <w:shd w:color="auto" w:fill="1F4E79" w:val="clear"/>
          </w:tcPr>
          <w:p>
            <w:pPr>
              <w:pStyle w:val="Normal"/>
              <w:rPr/>
            </w:pPr>
            <w:r>
              <w:rPr>
                <w:b/>
                <w:bCs/>
                <w:color w:val="FFFFFF"/>
                <w:sz w:val="20"/>
                <w:szCs w:val="20"/>
              </w:rPr>
              <w:t>Method</w:t>
            </w:r>
          </w:p>
        </w:tc>
        <w:tc>
          <w:tcPr>
            <w:tcW w:w="1501" w:type="dxa"/>
            <w:tcBorders>
              <w:top w:val="single" w:sz="4" w:space="0" w:color="999999"/>
              <w:left w:val="single" w:sz="4" w:space="0" w:color="999999"/>
              <w:bottom w:val="single" w:sz="4" w:space="0" w:color="999999"/>
              <w:right w:val="single" w:sz="4" w:space="0" w:color="999999"/>
            </w:tcBorders>
            <w:shd w:color="auto" w:fill="1F4E79" w:val="clear"/>
          </w:tcPr>
          <w:p>
            <w:pPr>
              <w:pStyle w:val="Normal"/>
              <w:rPr/>
            </w:pPr>
            <w:r>
              <w:rPr>
                <w:b/>
                <w:bCs/>
                <w:color w:val="FFFFFF"/>
                <w:sz w:val="20"/>
                <w:szCs w:val="20"/>
              </w:rPr>
              <w:t>Accuracy</w:t>
            </w:r>
          </w:p>
        </w:tc>
        <w:tc>
          <w:tcPr>
            <w:tcW w:w="1699" w:type="dxa"/>
            <w:tcBorders>
              <w:top w:val="single" w:sz="4" w:space="0" w:color="999999"/>
              <w:left w:val="single" w:sz="4" w:space="0" w:color="999999"/>
              <w:bottom w:val="single" w:sz="4" w:space="0" w:color="999999"/>
              <w:right w:val="single" w:sz="4" w:space="0" w:color="999999"/>
            </w:tcBorders>
            <w:shd w:color="auto" w:fill="1F4E79" w:val="clear"/>
          </w:tcPr>
          <w:p>
            <w:pPr>
              <w:pStyle w:val="Normal"/>
              <w:rPr/>
            </w:pPr>
            <w:r>
              <w:rPr>
                <w:b/>
                <w:bCs/>
                <w:color w:val="FFFFFF"/>
                <w:sz w:val="20"/>
                <w:szCs w:val="20"/>
              </w:rPr>
              <w:t>Note</w:t>
            </w:r>
          </w:p>
        </w:tc>
      </w:tr>
      <w:tr>
        <w:trPr/>
        <w:tc>
          <w:tcPr>
            <w:tcW w:w="22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GAAM</w:t>
            </w:r>
          </w:p>
        </w:tc>
        <w:tc>
          <w:tcPr>
            <w:tcW w:w="38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Theory: αE + 2λ − 2 = 0</w:t>
            </w:r>
          </w:p>
        </w:tc>
        <w:tc>
          <w:tcPr>
            <w:tcW w:w="1501"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99.2%</w:t>
            </w:r>
          </w:p>
        </w:tc>
        <w:tc>
          <w:tcPr>
            <w:tcW w:w="16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ground truth</w:t>
            </w:r>
          </w:p>
        </w:tc>
      </w:tr>
      <w:tr>
        <w:trPr/>
        <w:tc>
          <w:tcPr>
            <w:tcW w:w="22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GAAM</w:t>
            </w:r>
          </w:p>
        </w:tc>
        <w:tc>
          <w:tcPr>
            <w:tcW w:w="38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KAN auto (snap to linear/quadratic)</w:t>
            </w:r>
          </w:p>
        </w:tc>
        <w:tc>
          <w:tcPr>
            <w:tcW w:w="1501"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99.0%</w:t>
            </w:r>
          </w:p>
        </w:tc>
        <w:tc>
          <w:tcPr>
            <w:tcW w:w="16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small terms prunable</w:t>
            </w:r>
          </w:p>
        </w:tc>
      </w:tr>
      <w:tr>
        <w:trPr/>
        <w:tc>
          <w:tcPr>
            <w:tcW w:w="22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MAAM</w:t>
            </w:r>
          </w:p>
        </w:tc>
        <w:tc>
          <w:tcPr>
            <w:tcW w:w="38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Theory: E + exp(p) − λ cosh p = 0</w:t>
            </w:r>
          </w:p>
        </w:tc>
        <w:tc>
          <w:tcPr>
            <w:tcW w:w="1501"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98.6%</w:t>
            </w:r>
          </w:p>
        </w:tc>
        <w:tc>
          <w:tcPr>
            <w:tcW w:w="16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ground truth</w:t>
            </w:r>
          </w:p>
        </w:tc>
      </w:tr>
      <w:tr>
        <w:trPr/>
        <w:tc>
          <w:tcPr>
            <w:tcW w:w="22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MAAM</w:t>
            </w:r>
          </w:p>
        </w:tc>
        <w:tc>
          <w:tcPr>
            <w:tcW w:w="38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KAN auto (large library)</w:t>
            </w:r>
          </w:p>
        </w:tc>
        <w:tc>
          <w:tcPr>
            <w:tcW w:w="1501"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97.1%</w:t>
            </w:r>
          </w:p>
        </w:tc>
        <w:tc>
          <w:tcPr>
            <w:tcW w:w="16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complicated formula</w:t>
            </w:r>
          </w:p>
        </w:tc>
      </w:tr>
      <w:tr>
        <w:trPr/>
        <w:tc>
          <w:tcPr>
            <w:tcW w:w="22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MAAM</w:t>
            </w:r>
          </w:p>
        </w:tc>
        <w:tc>
          <w:tcPr>
            <w:tcW w:w="38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KAN manual, steps 2–3</w:t>
            </w:r>
          </w:p>
        </w:tc>
        <w:tc>
          <w:tcPr>
            <w:tcW w:w="1501"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97.7%</w:t>
            </w:r>
          </w:p>
        </w:tc>
        <w:tc>
          <w:tcPr>
            <w:tcW w:w="16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partly symbolic</w:t>
            </w:r>
          </w:p>
        </w:tc>
      </w:tr>
      <w:tr>
        <w:trPr/>
        <w:tc>
          <w:tcPr>
            <w:tcW w:w="22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MAAM</w:t>
            </w:r>
          </w:p>
        </w:tc>
        <w:tc>
          <w:tcPr>
            <w:tcW w:w="38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KAN manual, step 4A (cosh)</w:t>
            </w:r>
          </w:p>
        </w:tc>
        <w:tc>
          <w:tcPr>
            <w:tcW w:w="1501"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96.6%</w:t>
            </w:r>
          </w:p>
        </w:tc>
        <w:tc>
          <w:tcPr>
            <w:tcW w:w="16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simpler</w:t>
            </w:r>
          </w:p>
        </w:tc>
      </w:tr>
      <w:tr>
        <w:trPr/>
        <w:tc>
          <w:tcPr>
            <w:tcW w:w="22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MAAM</w:t>
            </w:r>
          </w:p>
        </w:tc>
        <w:tc>
          <w:tcPr>
            <w:tcW w:w="386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KAN manual, step 4B (quadratic)</w:t>
            </w:r>
          </w:p>
        </w:tc>
        <w:tc>
          <w:tcPr>
            <w:tcW w:w="1501"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95.4%</w:t>
            </w:r>
          </w:p>
        </w:tc>
        <w:tc>
          <w:tcPr>
            <w:tcW w:w="169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color w:val="000000"/>
                <w:sz w:val="20"/>
                <w:szCs w:val="20"/>
              </w:rPr>
              <w:t>simplest</w:t>
            </w:r>
          </w:p>
        </w:tc>
      </w:tr>
    </w:tbl>
    <w:p>
      <w:pPr>
        <w:pStyle w:val="Normal"/>
        <w:spacing w:before="0" w:after="160"/>
        <w:rPr/>
      </w:pPr>
      <w:r>
        <w:rPr/>
      </w:r>
    </w:p>
    <w:p>
      <w:pPr>
        <w:pStyle w:val="Heading2"/>
        <w:rPr/>
      </w:pPr>
      <w:r>
        <w:rPr/>
        <w:t>D.3 Hyperparameter effects on interpretability (paper Appendix C)</w:t>
      </w:r>
    </w:p>
    <w:p>
      <w:pPr>
        <w:pStyle w:val="ListParagraph"/>
        <w:numPr>
          <w:ilvl w:val="0"/>
          <w:numId w:val="1"/>
        </w:numPr>
        <w:spacing w:before="0" w:after="60"/>
        <w:rPr/>
      </w:pPr>
      <w:r>
        <w:rPr/>
        <w:t>Entropy penalty is needed to reduce the number of active edges; without it many duplicate functions remain.</w:t>
      </w:r>
    </w:p>
    <w:p>
      <w:pPr>
        <w:pStyle w:val="ListParagraph"/>
        <w:numPr>
          <w:ilvl w:val="0"/>
          <w:numId w:val="1"/>
        </w:numPr>
        <w:spacing w:before="0" w:after="60"/>
        <w:rPr/>
      </w:pPr>
      <w:r>
        <w:rPr/>
        <w:t>Results depend on random seed: an unlucky seed can leave a pruned network larger than necessary.</w:t>
      </w:r>
    </w:p>
    <w:p>
      <w:pPr>
        <w:pStyle w:val="ListParagraph"/>
        <w:numPr>
          <w:ilvl w:val="0"/>
          <w:numId w:val="1"/>
        </w:numPr>
        <w:spacing w:before="0" w:after="60"/>
        <w:rPr/>
      </w:pPr>
      <w:r>
        <w:rPr/>
        <w:t>Overall penalty λ effectively controls sparsity.</w:t>
      </w:r>
    </w:p>
    <w:p>
      <w:pPr>
        <w:pStyle w:val="ListParagraph"/>
        <w:numPr>
          <w:ilvl w:val="0"/>
          <w:numId w:val="1"/>
        </w:numPr>
        <w:spacing w:before="0" w:after="60"/>
        <w:rPr/>
      </w:pPr>
      <w:r>
        <w:rPr/>
        <w:t>Grid size G has a subtle effect: if G is too small each activation is not expressive enough and the network uses an ‘ensembling’ strategy that is harder to interpret.</w:t>
      </w:r>
    </w:p>
    <w:p>
      <w:pPr>
        <w:pStyle w:val="ListParagraph"/>
        <w:numPr>
          <w:ilvl w:val="0"/>
          <w:numId w:val="1"/>
        </w:numPr>
        <w:spacing w:before="0" w:after="60"/>
        <w:rPr/>
      </w:pPr>
      <w:r>
        <w:rPr/>
        <w:t>Spline order k has only a subtle, seed-like effect in the toy example.</w:t>
      </w:r>
    </w:p>
    <w:p>
      <w:pPr>
        <w:pStyle w:val="Heading2"/>
        <w:rPr/>
      </w:pPr>
      <w:r>
        <w:rPr/>
        <w:t>D.4 Learnable activation networks (LANs) and image fitting</w:t>
      </w:r>
    </w:p>
    <w:p>
      <w:pPr>
        <w:pStyle w:val="Normal"/>
        <w:spacing w:lineRule="exact" w:line="276" w:before="0" w:after="120"/>
        <w:rPr/>
      </w:pPr>
      <w:r>
        <w:rPr/>
        <w:t>Appendix B of the paper introduces LANs: MLPs whose node activations are learnable splines. They have N²L + NLG parameters (little overhead over an MLP), are conceptually simpler and scale better in width than KANs, but are less interpretable (weight matrices remain) and less accurate. On synthetic examples the LAN diagrams are hard to read, which the authors take as evidence that removing linear weight matrices, by putting activations on edges, is necessary for interpretability. As a practical use, a SIREN network (sine activations) fitting an image can be converted to a LAN with a trainable spline added to the sine base function, improving PSNR with about 4% extra parameters (G = 5, N = 128).</w:t>
      </w:r>
    </w:p>
    <w:p>
      <w:pPr>
        <w:pStyle w:val="Heading2"/>
        <w:rPr/>
      </w:pPr>
      <w:r>
        <w:rPr/>
        <w:t>D.5 Related work and discussion points</w:t>
      </w:r>
    </w:p>
    <w:p>
      <w:pPr>
        <w:pStyle w:val="Normal"/>
        <w:spacing w:lineRule="exact" w:line="276" w:before="0" w:after="120"/>
        <w:rPr/>
      </w:pPr>
      <w:r>
        <w:rPr/>
        <w:t>The paper situates KANs among earlier Kolmogorov-network papers (most use the original depth-2 width-(2n+1) form and predate back-propagation), generalised additive models, neural additive models, learnable-activation networks (polynomial, spline, SiLU-search, neural-network activations), symbolic regression tools (Eureqa, GPLearn, PySR, AI Feynman, EQL, OccamNet) and mechanistic interpretability, where KANs belong to the ‘active’ category of intrinsically interpretable designs. The discussion lists future directions: a generalised Kolmogorov–Arnold theorem defining ‘KA depth’, alternative local kernels (radial basis functions), adaptive grids, multi-head KANs for efficiency (activations shared within groups to exploit batching), hybrids with MLPs, and applications to Navier–Stokes, density functional theory and transformers.</w:t>
      </w:r>
    </w:p>
    <w:p>
      <w:pPr>
        <w:pStyle w:val="Heading1"/>
        <w:rPr/>
      </w:pPr>
      <w:r>
        <w:rPr/>
        <w:t>References</w:t>
      </w:r>
    </w:p>
    <w:p>
      <w:pPr>
        <w:pStyle w:val="ListParagraph"/>
        <w:numPr>
          <w:ilvl w:val="0"/>
          <w:numId w:val="5"/>
        </w:numPr>
        <w:spacing w:before="0" w:after="80"/>
        <w:rPr/>
      </w:pPr>
      <w:r>
        <w:rPr>
          <w:sz w:val="21"/>
          <w:szCs w:val="21"/>
        </w:rPr>
        <w:t>Z. Liu et al., “KAN: Kolmogorov–Arnold Networks,” ICLR 2025, arXiv:2404.19756.</w:t>
      </w:r>
    </w:p>
    <w:p>
      <w:pPr>
        <w:pStyle w:val="ListParagraph"/>
        <w:numPr>
          <w:ilvl w:val="0"/>
          <w:numId w:val="2"/>
        </w:numPr>
        <w:spacing w:before="0" w:after="80"/>
        <w:rPr/>
      </w:pPr>
      <w:r>
        <w:rPr>
          <w:sz w:val="21"/>
          <w:szCs w:val="21"/>
        </w:rPr>
        <w:t>A. N. Kolmogorov, “On the representation of continuous functions of many variables by superposition of continuous functions of one variable and addition,” Dokl. Akad. Nauk, 114, 1957.</w:t>
      </w:r>
    </w:p>
    <w:p>
      <w:pPr>
        <w:pStyle w:val="ListParagraph"/>
        <w:numPr>
          <w:ilvl w:val="0"/>
          <w:numId w:val="2"/>
        </w:numPr>
        <w:spacing w:before="0" w:after="80"/>
        <w:rPr/>
      </w:pPr>
      <w:r>
        <w:rPr>
          <w:sz w:val="21"/>
          <w:szCs w:val="21"/>
        </w:rPr>
        <w:t>K. Hornik, M. Stinchcombe, H. White, “Multilayer feedforward networks are universal approximators,” Neural Networks, 2(5), 1989.</w:t>
      </w:r>
    </w:p>
    <w:p>
      <w:pPr>
        <w:pStyle w:val="ListParagraph"/>
        <w:numPr>
          <w:ilvl w:val="0"/>
          <w:numId w:val="2"/>
        </w:numPr>
        <w:spacing w:before="0" w:after="80"/>
        <w:rPr/>
      </w:pPr>
      <w:r>
        <w:rPr>
          <w:sz w:val="21"/>
          <w:szCs w:val="21"/>
        </w:rPr>
        <w:t>U. Sharma and J. Kaplan, “A neural scaling law from the dimension of the data manifold,” arXiv:2004.10802, 2020.</w:t>
      </w:r>
    </w:p>
    <w:p>
      <w:pPr>
        <w:pStyle w:val="ListParagraph"/>
        <w:numPr>
          <w:ilvl w:val="0"/>
          <w:numId w:val="2"/>
        </w:numPr>
        <w:spacing w:before="0" w:after="80"/>
        <w:rPr/>
      </w:pPr>
      <w:r>
        <w:rPr>
          <w:sz w:val="21"/>
          <w:szCs w:val="21"/>
        </w:rPr>
        <w:t>E. J. Michaud, Z. Liu, M. Tegmark, “Precision machine learning,” Entropy 25(1), 2023.</w:t>
      </w:r>
    </w:p>
    <w:p>
      <w:pPr>
        <w:pStyle w:val="ListParagraph"/>
        <w:numPr>
          <w:ilvl w:val="0"/>
          <w:numId w:val="2"/>
        </w:numPr>
        <w:spacing w:before="0" w:after="80"/>
        <w:rPr/>
      </w:pPr>
      <w:r>
        <w:rPr>
          <w:sz w:val="21"/>
          <w:szCs w:val="21"/>
        </w:rPr>
        <w:t>T. Poggio, A. Banburski, Q. Liao, “Theoretical issues in deep networks,” PNAS 117(48), 2020.</w:t>
      </w:r>
    </w:p>
    <w:p>
      <w:pPr>
        <w:pStyle w:val="ListParagraph"/>
        <w:numPr>
          <w:ilvl w:val="0"/>
          <w:numId w:val="2"/>
        </w:numPr>
        <w:spacing w:before="0" w:after="80"/>
        <w:rPr/>
      </w:pPr>
      <w:r>
        <w:rPr>
          <w:sz w:val="21"/>
          <w:szCs w:val="21"/>
        </w:rPr>
        <w:t>A. Davies et al., “Advancing mathematics by guiding human intuition with AI,” Nature 600, 2021.</w:t>
      </w:r>
    </w:p>
    <w:p>
      <w:pPr>
        <w:pStyle w:val="ListParagraph"/>
        <w:numPr>
          <w:ilvl w:val="0"/>
          <w:numId w:val="2"/>
        </w:numPr>
        <w:spacing w:before="0" w:after="80"/>
        <w:rPr/>
      </w:pPr>
      <w:r>
        <w:rPr>
          <w:sz w:val="21"/>
          <w:szCs w:val="21"/>
        </w:rPr>
        <w:t>M. Raissi, P. Perdikaris, G. E. Karniadakis, “Physics-informed neural networks,” J. Comput. Phys. 378, 2019.</w:t>
      </w:r>
    </w:p>
    <w:p>
      <w:pPr>
        <w:pStyle w:val="ListParagraph"/>
        <w:numPr>
          <w:ilvl w:val="0"/>
          <w:numId w:val="2"/>
        </w:numPr>
        <w:spacing w:before="0" w:after="80"/>
        <w:rPr/>
      </w:pPr>
      <w:r>
        <w:rPr>
          <w:sz w:val="21"/>
          <w:szCs w:val="21"/>
        </w:rPr>
        <w:t>C. de Boor, A Practical Guide to Splines, Springer, 1978.</w:t>
      </w:r>
    </w:p>
    <w:sectPr>
      <w:footerReference w:type="even" r:id="rId6"/>
      <w:footerReference w:type="default" r:id="rId7"/>
      <w:footerReference w:type="first" r:id="rId8"/>
      <w:type w:val="nextPage"/>
      <w:pgSz w:w="12240" w:h="15840"/>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Cambria Math">
    <w:charset w:val="01"/>
    <w:family w:val="roman"/>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Page </w:t>
    </w:r>
    <w:r>
      <w:rPr/>
      <w:fldChar w:fldCharType="begin"/>
    </w:r>
    <w:r>
      <w:rPr/>
      <w:instrText xml:space="preserve"> PAGE </w:instrText>
    </w:r>
    <w:r>
      <w:rPr/>
      <w:fldChar w:fldCharType="separate"/>
    </w:r>
    <w:r>
      <w:rPr/>
      <w:t>13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Page </w:t>
    </w:r>
    <w:r>
      <w:rPr/>
      <w:fldChar w:fldCharType="begin"/>
    </w:r>
    <w:r>
      <w:rPr/>
      <w:instrText xml:space="preserve"> PAGE </w:instrText>
    </w:r>
    <w:r>
      <w:rPr/>
      <w:fldChar w:fldCharType="separate"/>
    </w:r>
    <w:r>
      <w:rPr/>
      <w:t>13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5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320" w:after="140"/>
      <w:outlineLvl w:val="0"/>
    </w:pPr>
    <w:rPr>
      <w:rFonts w:ascii="Calibri" w:hAnsi="Calibri" w:eastAsia="Calibri" w:cs="Calibri"/>
      <w:b/>
      <w:bCs/>
      <w:color w:val="1F4E79"/>
      <w:sz w:val="32"/>
      <w:szCs w:val="32"/>
    </w:rPr>
  </w:style>
  <w:style w:type="paragraph" w:styleId="Heading2">
    <w:name w:val="Heading 2"/>
    <w:basedOn w:val="Heading"/>
    <w:qFormat/>
    <w:pPr>
      <w:spacing w:before="220" w:after="100"/>
      <w:outlineLvl w:val="1"/>
    </w:pPr>
    <w:rPr>
      <w:rFonts w:ascii="Calibri" w:hAnsi="Calibri" w:eastAsia="Calibri" w:cs="Calibri"/>
      <w:b/>
      <w:bCs/>
      <w:color w:val="2E75B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2026-10-06T04:46:35Z</dcterms:created>
  <dc:creator>Un-named</dc:creator>
  <dc:description/>
  <dc:language>en-US</dc:language>
  <cp:lastModifiedBy>Un-named</cp:lastModifiedBy>
  <dcterms:modified xsi:type="dcterms:W3CDTF">2026-10-06T04:46:35Z</dcterms:modified>
  <cp:revision>1</cp:revision>
  <dc:subject/>
  <dc:title/>
</cp:coreProperties>
</file>