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Calibri" w:hAnsi="Calibri"/>
          <w:sz w:val="22"/>
        </w:rPr>
        <w:t>COMP60010: Enterprise Cloud and Distributed Web Applications</w:t>
      </w:r>
    </w:p>
    <w:p>
      <w:pPr>
        <w:spacing w:after="160"/>
        <w:jc w:val="center"/>
      </w:pPr>
      <w:r>
        <w:rPr>
          <w:rFonts w:ascii="Calibri" w:hAnsi="Calibri"/>
          <w:b/>
          <w:color w:val="0B2545"/>
          <w:sz w:val="56"/>
        </w:rPr>
        <w:t>SmartRetailX</w:t>
      </w:r>
    </w:p>
    <w:p>
      <w:pPr>
        <w:spacing w:after="840"/>
        <w:jc w:val="center"/>
      </w:pPr>
      <w:r>
        <w:rPr>
          <w:rFonts w:ascii="Calibri" w:hAnsi="Calibri"/>
          <w:color w:val="3F4E5E"/>
          <w:sz w:val="30"/>
        </w:rPr>
        <w:t>Cloud-Native Distributed Web Application: Design, Implementation and Evaluation</w:t>
      </w:r>
    </w:p>
    <w:p>
      <w:pPr>
        <w:spacing w:after="100"/>
        <w:jc w:val="center"/>
      </w:pPr>
      <w:r>
        <w:rPr>
          <w:rFonts w:ascii="Calibri" w:hAnsi="Calibri"/>
          <w:color w:val="555555"/>
          <w:sz w:val="22"/>
        </w:rPr>
        <w:t>Student name: [Insert name]</w:t>
      </w:r>
    </w:p>
    <w:p>
      <w:pPr>
        <w:spacing w:after="100"/>
        <w:jc w:val="center"/>
      </w:pPr>
      <w:r>
        <w:rPr>
          <w:rFonts w:ascii="Calibri" w:hAnsi="Calibri"/>
          <w:color w:val="555555"/>
          <w:sz w:val="22"/>
        </w:rPr>
        <w:t>Student ID: [Insert student ID]</w:t>
      </w:r>
    </w:p>
    <w:p>
      <w:pPr>
        <w:spacing w:after="100"/>
        <w:jc w:val="center"/>
      </w:pPr>
      <w:r>
        <w:rPr>
          <w:rFonts w:ascii="Calibri" w:hAnsi="Calibri"/>
          <w:color w:val="555555"/>
          <w:sz w:val="22"/>
        </w:rPr>
        <w:t>Tutor: [Insert tutor name]</w:t>
      </w:r>
    </w:p>
    <w:p>
      <w:pPr>
        <w:spacing w:after="100"/>
        <w:jc w:val="center"/>
      </w:pPr>
      <w:r>
        <w:rPr>
          <w:rFonts w:ascii="Calibri" w:hAnsi="Calibri"/>
          <w:color w:val="555555"/>
          <w:sz w:val="22"/>
        </w:rPr>
        <w:t>Submission date: [Insert date]</w:t>
      </w:r>
    </w:p>
    <w:p>
      <w:pPr>
        <w:spacing w:after="100"/>
        <w:jc w:val="center"/>
      </w:pPr>
      <w:r>
        <w:rPr>
          <w:rFonts w:ascii="Calibri" w:hAnsi="Calibri"/>
          <w:color w:val="555555"/>
          <w:sz w:val="22"/>
        </w:rPr>
        <w:t>Word count: approximately 4,300 words (excluding references and appendices)</w:t>
      </w:r>
    </w:p>
    <w:p>
      <w:r>
        <w:br w:type="page"/>
      </w:r>
    </w:p>
    <w:p>
      <w:pPr>
        <w:pStyle w:val="Heading1"/>
      </w:pPr>
      <w:r>
        <w:t>Contents</w:t>
      </w:r>
    </w:p>
    <w:p>
      <w:pPr>
        <w:spacing w:after="60"/>
      </w:pPr>
      <w:r>
        <w:rPr>
          <w:rFonts w:ascii="Calibri" w:hAnsi="Calibri"/>
          <w:sz w:val="22"/>
        </w:rPr>
        <w:t>1. Introduction</w:t>
      </w:r>
    </w:p>
    <w:p>
      <w:pPr>
        <w:spacing w:after="60"/>
      </w:pPr>
      <w:r>
        <w:rPr>
          <w:rFonts w:ascii="Calibri" w:hAnsi="Calibri"/>
          <w:sz w:val="22"/>
        </w:rPr>
        <w:t>2. Requirements, scope and proposed system</w:t>
      </w:r>
    </w:p>
    <w:p>
      <w:pPr>
        <w:spacing w:after="60"/>
      </w:pPr>
      <w:r>
        <w:rPr>
          <w:rFonts w:ascii="Calibri" w:hAnsi="Calibri"/>
          <w:sz w:val="22"/>
        </w:rPr>
        <w:t>3. Architecture and AWS service justification</w:t>
      </w:r>
    </w:p>
    <w:p>
      <w:pPr>
        <w:spacing w:after="60"/>
      </w:pPr>
      <w:r>
        <w:rPr>
          <w:rFonts w:ascii="Calibri" w:hAnsi="Calibri"/>
          <w:sz w:val="22"/>
        </w:rPr>
        <w:t>4. Implementation</w:t>
      </w:r>
    </w:p>
    <w:p>
      <w:pPr>
        <w:spacing w:after="60"/>
      </w:pPr>
      <w:r>
        <w:rPr>
          <w:rFonts w:ascii="Calibri" w:hAnsi="Calibri"/>
          <w:sz w:val="22"/>
        </w:rPr>
        <w:t>5. Event-driven processing and consistency</w:t>
      </w:r>
    </w:p>
    <w:p>
      <w:pPr>
        <w:spacing w:after="60"/>
      </w:pPr>
      <w:r>
        <w:rPr>
          <w:rFonts w:ascii="Calibri" w:hAnsi="Calibri"/>
          <w:sz w:val="22"/>
        </w:rPr>
        <w:t>6. Security, resilience and scalability</w:t>
      </w:r>
    </w:p>
    <w:p>
      <w:pPr>
        <w:spacing w:after="60"/>
      </w:pPr>
      <w:r>
        <w:rPr>
          <w:rFonts w:ascii="Calibri" w:hAnsi="Calibri"/>
          <w:sz w:val="22"/>
        </w:rPr>
        <w:t>7. Testing and evaluation</w:t>
      </w:r>
    </w:p>
    <w:p>
      <w:pPr>
        <w:spacing w:after="60"/>
      </w:pPr>
      <w:r>
        <w:rPr>
          <w:rFonts w:ascii="Calibri" w:hAnsi="Calibri"/>
          <w:sz w:val="22"/>
        </w:rPr>
        <w:t>8. Remaining work and future improvements</w:t>
      </w:r>
    </w:p>
    <w:p>
      <w:pPr>
        <w:spacing w:after="60"/>
      </w:pPr>
      <w:r>
        <w:rPr>
          <w:rFonts w:ascii="Calibri" w:hAnsi="Calibri"/>
          <w:sz w:val="22"/>
        </w:rPr>
        <w:t>9. Conclusion</w:t>
      </w:r>
    </w:p>
    <w:p>
      <w:pPr>
        <w:spacing w:after="60"/>
      </w:pPr>
      <w:r>
        <w:rPr>
          <w:rFonts w:ascii="Calibri" w:hAnsi="Calibri"/>
          <w:sz w:val="22"/>
        </w:rPr>
        <w:t>References</w:t>
      </w:r>
    </w:p>
    <w:p>
      <w:pPr>
        <w:spacing w:after="60"/>
      </w:pPr>
      <w:r>
        <w:rPr>
          <w:rFonts w:ascii="Calibri" w:hAnsi="Calibri"/>
          <w:sz w:val="22"/>
        </w:rPr>
        <w:t>Appendices</w:t>
      </w:r>
    </w:p>
    <w:p>
      <w:r>
        <w:br w:type="page"/>
      </w:r>
    </w:p>
    <w:p>
      <w:pPr>
        <w:pStyle w:val="Heading1"/>
      </w:pPr>
      <w:r>
        <w:t>1. Introduction</w:t>
      </w:r>
    </w:p>
    <w:p>
      <w:r>
        <w:rPr>
          <w:rFonts w:ascii="Calibri" w:hAnsi="Calibri"/>
          <w:sz w:val="22"/>
        </w:rPr>
        <w:t>SmartRetailX is a proposed global commerce platform intended to replace a monolithic e-commerce application. The original system is described as difficult to scale, slow to change and vulnerable to single points of failure. The assignment therefore requires a cloud-native distributed web application using microservices, containers, serverless functions, managed databases, event-driven communication and a clear testing strategy (SmartRetailX, 2026a). This report explains the proposed solution and the work implemented in the repository as at 17 August 2026. It uses simple, evidence-based language and distinguishes completed features from features that are still to be delivered.</w:t>
      </w:r>
    </w:p>
    <w:p>
      <w:r>
        <w:rPr>
          <w:rFonts w:ascii="Calibri" w:hAnsi="Calibri"/>
          <w:sz w:val="22"/>
        </w:rPr>
        <w:t>The central design decision is to separate the retail domains into independently deployable services. The completed implementation contains Product Catalogue, Inventory, Payment and Order services. Each service owns its data and communicates through APIs or domain events. This fits the main idea of microservices: small services run as separate processes and communicate through lightweight mechanisms (Taibi, Lenarduzzi and Pahl, 2019). The approach is appropriate for retail because a change to stock handling should not require a change to payment processing, and a fault in one area should not automatically stop the whole platform.</w:t>
      </w:r>
    </w:p>
    <w:p>
      <w:r>
        <w:rPr>
          <w:rFonts w:ascii="Calibri" w:hAnsi="Calibri"/>
          <w:sz w:val="22"/>
        </w:rPr>
        <w:t>The report has two purposes. First, it explains what has been implemented, including the Lambda-based backend, Terraform infrastructure, Cognito authentication and the order-processing Saga. Second, it presents the complete target architecture required by the brief. This includes container orchestration, real-time customer updates, monitoring, security testing and multi-region recovery. Wherever a target feature does not yet have evidence in the repository, it is labelled proposed or deferred rather than claimed as complete.</w:t>
      </w:r>
    </w:p>
    <w:p>
      <w:pPr>
        <w:pStyle w:val="Heading1"/>
      </w:pPr>
      <w:r>
        <w:t>2. Requirements, scope and proposed system</w:t>
      </w:r>
    </w:p>
    <w:p>
      <w:pPr>
        <w:pStyle w:val="Heading2"/>
      </w:pPr>
      <w:r>
        <w:t>2.1 Assignment requirements and project scope</w:t>
      </w:r>
    </w:p>
    <w:p>
      <w:r>
        <w:rPr>
          <w:rFonts w:ascii="Calibri" w:hAnsi="Calibri"/>
          <w:sz w:val="22"/>
        </w:rPr>
        <w:t>The assignment asks for a cloud-based distributed application that demonstrates at least three working microservices, RESTful APIs, API versioning, secure service-to-service communication, cloud-managed databases and event-driven communication. It also asks for fault tolerance, performance testing, observability, testing evidence and a discussion of security and compliance (SmartRetailX, 2026a). SmartRetailX meets a substantial part of this scope already, but the checklist identifies several items that must be completed before submission, including a full evidence set, production frontend deployment and documented recovery tests (SmartRetailX, 2026c).</w:t>
      </w:r>
    </w:p>
    <w:p>
      <w:r>
        <w:rPr>
          <w:rFonts w:ascii="Calibri" w:hAnsi="Calibri"/>
          <w:sz w:val="22"/>
        </w:rPr>
        <w:t>The functional scope is online retail. Customers can browse products, view product details, keep a local basket, submit a tokenised payment and see their own order history. Administrators have protected actions for catalogue maintenance, inventory adjustments, payment or refund controls and recovery views. Product, inventory, payment and order processing have been selected as the initial domains because they form a complete checkout path. User Profile, Notification and delivery tracking are part of the target scope but have not yet been implemented in the current repository.</w:t>
      </w:r>
    </w:p>
    <w:tbl>
      <w:tblPr>
        <w:tblStyle w:val="TableGrid"/>
        <w:tblW w:type="dxa" w:w="9360"/>
        <w:jc w:val="left"/>
        <w:tblLayout w:type="fixed"/>
        <w:tblLook w:firstColumn="1" w:firstRow="1" w:lastColumn="0" w:lastRow="0" w:noHBand="0" w:noVBand="1" w:val="04A0"/>
        <w:tblInd w:w="120" w:type="dxa"/>
      </w:tblPr>
      <w:tblGrid>
        <w:gridCol w:w="1872"/>
        <w:gridCol w:w="3672"/>
        <w:gridCol w:w="3816"/>
      </w:tblGrid>
      <w:tr>
        <w:trPr>
          <w:tblHeader w:val="true"/>
        </w:trPr>
        <w:tc>
          <w:tcPr>
            <w:tcW w:type="dxa" w:w="1872"/>
            <w:vAlign w:val="center"/>
            <w:tcMar>
              <w:top w:w="80" w:type="dxa"/>
              <w:start w:w="120" w:type="dxa"/>
              <w:bottom w:w="80" w:type="dxa"/>
              <w:end w:w="120" w:type="dxa"/>
            </w:tcMar>
            <w:shd w:fill="F4F6F9"/>
          </w:tcPr>
          <w:p>
            <w:r>
              <w:rPr>
                <w:rFonts w:ascii="Calibri" w:hAnsi="Calibri"/>
                <w:b/>
                <w:color w:val="1F4D78"/>
                <w:sz w:val="20"/>
              </w:rPr>
              <w:t>Area</w:t>
            </w:r>
          </w:p>
        </w:tc>
        <w:tc>
          <w:tcPr>
            <w:tcW w:type="dxa" w:w="3672"/>
            <w:vAlign w:val="center"/>
            <w:tcMar>
              <w:top w:w="80" w:type="dxa"/>
              <w:start w:w="120" w:type="dxa"/>
              <w:bottom w:w="80" w:type="dxa"/>
              <w:end w:w="120" w:type="dxa"/>
            </w:tcMar>
            <w:shd w:fill="F4F6F9"/>
          </w:tcPr>
          <w:p>
            <w:r>
              <w:rPr>
                <w:rFonts w:ascii="Calibri" w:hAnsi="Calibri"/>
                <w:b/>
                <w:color w:val="1F4D78"/>
                <w:sz w:val="20"/>
              </w:rPr>
              <w:t>Current position</w:t>
            </w:r>
          </w:p>
        </w:tc>
        <w:tc>
          <w:tcPr>
            <w:tcW w:type="dxa" w:w="3816"/>
            <w:vAlign w:val="center"/>
            <w:tcMar>
              <w:top w:w="80" w:type="dxa"/>
              <w:start w:w="120" w:type="dxa"/>
              <w:bottom w:w="80" w:type="dxa"/>
              <w:end w:w="120" w:type="dxa"/>
            </w:tcMar>
            <w:shd w:fill="F4F6F9"/>
          </w:tcPr>
          <w:p>
            <w:r>
              <w:rPr>
                <w:rFonts w:ascii="Calibri" w:hAnsi="Calibri"/>
                <w:b/>
                <w:color w:val="1F4D78"/>
                <w:sz w:val="20"/>
              </w:rPr>
              <w:t>Target before submission</w:t>
            </w:r>
          </w:p>
        </w:tc>
      </w:tr>
      <w:tr>
        <w:tc>
          <w:tcPr>
            <w:tcW w:type="dxa" w:w="1872"/>
          </w:tcPr>
          <w:p>
            <w:r>
              <w:rPr>
                <w:rFonts w:ascii="Calibri" w:hAnsi="Calibri"/>
                <w:sz w:val="19"/>
              </w:rPr>
              <w:t>Core retail flow</w:t>
            </w:r>
          </w:p>
        </w:tc>
        <w:tc>
          <w:tcPr>
            <w:tcW w:type="dxa" w:w="3672"/>
          </w:tcPr>
          <w:p>
            <w:r>
              <w:rPr>
                <w:rFonts w:ascii="Calibri" w:hAnsi="Calibri"/>
                <w:sz w:val="19"/>
              </w:rPr>
              <w:t>Four backend services and checkout Saga implemented.</w:t>
            </w:r>
          </w:p>
        </w:tc>
        <w:tc>
          <w:tcPr>
            <w:tcW w:type="dxa" w:w="3816"/>
          </w:tcPr>
          <w:p>
            <w:r>
              <w:rPr>
                <w:rFonts w:ascii="Calibri" w:hAnsi="Calibri"/>
                <w:sz w:val="19"/>
              </w:rPr>
              <w:t>Capture live end-to-end evidence.</w:t>
            </w:r>
          </w:p>
        </w:tc>
      </w:tr>
      <w:tr>
        <w:tc>
          <w:tcPr>
            <w:tcW w:type="dxa" w:w="1872"/>
          </w:tcPr>
          <w:p>
            <w:r>
              <w:rPr>
                <w:rFonts w:ascii="Calibri" w:hAnsi="Calibri"/>
                <w:sz w:val="19"/>
              </w:rPr>
              <w:t>Containers</w:t>
            </w:r>
          </w:p>
        </w:tc>
        <w:tc>
          <w:tcPr>
            <w:tcW w:type="dxa" w:w="3672"/>
          </w:tcPr>
          <w:p>
            <w:r>
              <w:rPr>
                <w:rFonts w:ascii="Calibri" w:hAnsi="Calibri"/>
                <w:sz w:val="19"/>
              </w:rPr>
              <w:t>Docker images and ECR repositories implemented.</w:t>
            </w:r>
          </w:p>
        </w:tc>
        <w:tc>
          <w:tcPr>
            <w:tcW w:type="dxa" w:w="3816"/>
          </w:tcPr>
          <w:p>
            <w:r>
              <w:rPr>
                <w:rFonts w:ascii="Calibri" w:hAnsi="Calibri"/>
                <w:sz w:val="19"/>
              </w:rPr>
              <w:t>Deploy the defined container workload using ECS Fargate.</w:t>
            </w:r>
          </w:p>
        </w:tc>
      </w:tr>
      <w:tr>
        <w:tc>
          <w:tcPr>
            <w:tcW w:type="dxa" w:w="1872"/>
          </w:tcPr>
          <w:p>
            <w:r>
              <w:rPr>
                <w:rFonts w:ascii="Calibri" w:hAnsi="Calibri"/>
                <w:sz w:val="19"/>
              </w:rPr>
              <w:t>Real-time updates</w:t>
            </w:r>
          </w:p>
        </w:tc>
        <w:tc>
          <w:tcPr>
            <w:tcW w:type="dxa" w:w="3672"/>
          </w:tcPr>
          <w:p>
            <w:r>
              <w:rPr>
                <w:rFonts w:ascii="Calibri" w:hAnsi="Calibri"/>
                <w:sz w:val="19"/>
              </w:rPr>
              <w:t>EventBridge and SQS are implemented for backend events.</w:t>
            </w:r>
          </w:p>
        </w:tc>
        <w:tc>
          <w:tcPr>
            <w:tcW w:type="dxa" w:w="3816"/>
          </w:tcPr>
          <w:p>
            <w:r>
              <w:rPr>
                <w:rFonts w:ascii="Calibri" w:hAnsi="Calibri"/>
                <w:sz w:val="19"/>
              </w:rPr>
              <w:t>Add WebSocket push for stock and order-status updates.</w:t>
            </w:r>
          </w:p>
        </w:tc>
      </w:tr>
      <w:tr>
        <w:tc>
          <w:tcPr>
            <w:tcW w:type="dxa" w:w="1872"/>
          </w:tcPr>
          <w:p>
            <w:r>
              <w:rPr>
                <w:rFonts w:ascii="Calibri" w:hAnsi="Calibri"/>
                <w:sz w:val="19"/>
              </w:rPr>
              <w:t>Resilience</w:t>
            </w:r>
          </w:p>
        </w:tc>
        <w:tc>
          <w:tcPr>
            <w:tcW w:type="dxa" w:w="3672"/>
          </w:tcPr>
          <w:p>
            <w:r>
              <w:rPr>
                <w:rFonts w:ascii="Calibri" w:hAnsi="Calibri"/>
                <w:sz w:val="19"/>
              </w:rPr>
              <w:t>Two-AZ network, DLQ and PITR are configured.</w:t>
            </w:r>
          </w:p>
        </w:tc>
        <w:tc>
          <w:tcPr>
            <w:tcW w:type="dxa" w:w="3816"/>
          </w:tcPr>
          <w:p>
            <w:r>
              <w:rPr>
                <w:rFonts w:ascii="Calibri" w:hAnsi="Calibri"/>
                <w:sz w:val="19"/>
              </w:rPr>
              <w:t>Add circuit breaker, recovery drill and multi-region failover.</w:t>
            </w:r>
          </w:p>
        </w:tc>
      </w:tr>
      <w:tr>
        <w:tc>
          <w:tcPr>
            <w:tcW w:type="dxa" w:w="1872"/>
          </w:tcPr>
          <w:p>
            <w:r>
              <w:rPr>
                <w:rFonts w:ascii="Calibri" w:hAnsi="Calibri"/>
                <w:sz w:val="19"/>
              </w:rPr>
              <w:t>Quality</w:t>
            </w:r>
          </w:p>
        </w:tc>
        <w:tc>
          <w:tcPr>
            <w:tcW w:type="dxa" w:w="3672"/>
          </w:tcPr>
          <w:p>
            <w:r>
              <w:rPr>
                <w:rFonts w:ascii="Calibri" w:hAnsi="Calibri"/>
                <w:sz w:val="19"/>
              </w:rPr>
              <w:t>Backend unit and integration tests exist.</w:t>
            </w:r>
          </w:p>
        </w:tc>
        <w:tc>
          <w:tcPr>
            <w:tcW w:type="dxa" w:w="3816"/>
          </w:tcPr>
          <w:p>
            <w:r>
              <w:rPr>
                <w:rFonts w:ascii="Calibri" w:hAnsi="Calibri"/>
                <w:sz w:val="19"/>
              </w:rPr>
              <w:t>Add UI, security, performance and full journey evidence.</w:t>
            </w:r>
          </w:p>
        </w:tc>
      </w:tr>
    </w:tbl>
    <w:p>
      <w:pPr>
        <w:spacing w:after="40"/>
      </w:pPr>
    </w:p>
    <w:p>
      <w:pPr>
        <w:pStyle w:val="Heading2"/>
      </w:pPr>
      <w:r>
        <w:t>2.2 Proposed end-to-end solution</w:t>
      </w:r>
    </w:p>
    <w:p>
      <w:r>
        <w:rPr>
          <w:rFonts w:ascii="Calibri" w:hAnsi="Calibri"/>
          <w:sz w:val="22"/>
        </w:rPr>
        <w:t>The proposed solution uses a React single-page application for the customer interface. CloudFront delivers the static application from a private Amazon S3 bucket and forwards /api requests to API Gateway. API Gateway is the single public entry point for versioned REST endpoints. Cognito manages sign-in and issues JSON Web Tokens (JWTs). The gateway validates those tokens before requests reach the business services. This gives the frontend a simple interface while allowing each backend service to be changed independently.</w:t>
      </w:r>
    </w:p>
    <w:p>
      <w:r>
        <w:rPr>
          <w:rFonts w:ascii="Calibri" w:hAnsi="Calibri"/>
          <w:sz w:val="22"/>
        </w:rPr>
        <w:t>Behind the gateway, Product Catalogue manages the product record; Inventory manages available and reserved stock; Payment processes a token through a provider abstraction; and Order coordinates checkout. Each uses a separate DynamoDB table. Product creation is also an event: an outbox relay publishes ProductCreated to EventBridge, which routes it through SQS to the Inventory consumer. The consumer creates a zero-stock record for the new product. This asynchronous design means that the Product service does not need to know how the Inventory service stores data.</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2F4F7"/>
          </w:tcPr>
          <w:p>
            <w:pPr>
              <w:spacing w:before="400" w:after="400"/>
              <w:jc w:val="center"/>
            </w:pPr>
            <w:r>
              <w:rPr>
                <w:rFonts w:ascii="Calibri" w:hAnsi="Calibri"/>
                <w:b/>
                <w:color w:val="555555"/>
                <w:sz w:val="22"/>
              </w:rPr>
              <w:t>[INSERT SCREENSHOT 1: Overall proposed AWS architecture showing CloudFront, API Gateway, Cognito, ECS Fargate, Lambda services, DynamoDB, EventBridge and SQS]</w:t>
            </w:r>
          </w:p>
        </w:tc>
      </w:tr>
    </w:tbl>
    <w:p>
      <w:pPr>
        <w:spacing w:after="160"/>
        <w:jc w:val="center"/>
      </w:pPr>
      <w:r>
        <w:rPr>
          <w:rFonts w:ascii="Calibri" w:hAnsi="Calibri"/>
          <w:i/>
          <w:color w:val="555555"/>
          <w:sz w:val="20"/>
        </w:rPr>
        <w:t>Figure 1. Overall proposed AWS architecture showing CloudFront, API Gateway, Cognito, ECS Fargate, Lambda services, DynamoDB, EventBridge and SQS.</w:t>
      </w:r>
    </w:p>
    <w:p>
      <w:pPr>
        <w:pStyle w:val="Heading1"/>
      </w:pPr>
      <w:r>
        <w:t>3. Architecture and AWS service justification</w:t>
      </w:r>
    </w:p>
    <w:p>
      <w:pPr>
        <w:pStyle w:val="Heading2"/>
      </w:pPr>
      <w:r>
        <w:t>3.1 Presentation, API and compute layers</w:t>
      </w:r>
    </w:p>
    <w:p>
      <w:r>
        <w:rPr>
          <w:rFonts w:ascii="Calibri" w:hAnsi="Calibri"/>
          <w:sz w:val="22"/>
        </w:rPr>
        <w:t>The frontend is built with React, Vite and Tailwind. It is intended to be stored in a private S3 bucket and distributed by CloudFront. The existing Terraform configuration blocks direct public access, enables versioning and uses Origin Access Control (OAC). OAC allows CloudFront to send authenticated requests to the S3 origin and prevents users from accessing the bucket directly (Amazon Web Services, 2026a). CloudFront also routes API calls through the same public domain. This removes an avoidable cross-origin configuration problem and creates a convenient location for the web application firewall.</w:t>
      </w:r>
    </w:p>
    <w:p>
      <w:r>
        <w:rPr>
          <w:rFonts w:ascii="Calibri" w:hAnsi="Calibri"/>
          <w:sz w:val="22"/>
        </w:rPr>
        <w:t>API Gateway HTTP API provides path routing for the four HTTP services. The code uses versioned routes such as /api/v1/products and /api/v1/orders, which allows a later version to be introduced without breaking existing clients. HTTP API was chosen instead of the older REST API service because request validation is already handled by FastAPI and Pydantic, while HTTP API is lower cost and includes a native JWT authorizer. The drawback is that AWS WAF cannot attach directly to an HTTP API, so the design attaches WAF to CloudFront. This is a conscious trade-off that should be documented as ADR-041 in the final project evidence.</w:t>
      </w:r>
    </w:p>
    <w:p>
      <w:r>
        <w:rPr>
          <w:rFonts w:ascii="Calibri" w:hAnsi="Calibri"/>
          <w:sz w:val="22"/>
        </w:rPr>
        <w:t>The current production-style backend uses container images running in AWS Lambda. This has enabled a low-management, pay-for-use development architecture: Lambda runs code without the developer provisioning or managing servers and can scale with demand (Amazon Web Services, 2026b). Docker is still valuable because it packages dependencies consistently for local and cloud execution. The same FastAPI application can run locally with Uvicorn and in Lambda through a Mangum handler.</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FF2CC"/>
          </w:tcPr>
          <w:p>
            <w:pPr>
              <w:spacing w:before="80" w:after="80"/>
            </w:pPr>
            <w:r>
              <w:rPr>
                <w:rFonts w:ascii="Calibri" w:hAnsi="Calibri"/>
                <w:b/>
                <w:color w:val="7A5A00"/>
                <w:sz w:val="21"/>
              </w:rPr>
              <w:t>CHECK BEFORE SUBMISSION: ECS Fargate is the recommended container-orchestration target in the assignment design, but its deployment is currently deferred to avoid additional AWS cost. Confirm whether it has been deployed before submission; if it has, replace this note with the deployment configuration and screenshots. Do not claim ECS Fargate has been implemented without evidence.</w:t>
            </w:r>
          </w:p>
        </w:tc>
      </w:tr>
    </w:tbl>
    <w:p>
      <w:r>
        <w:rPr>
          <w:rFonts w:ascii="Calibri" w:hAnsi="Calibri"/>
          <w:sz w:val="22"/>
        </w:rPr>
        <w:t>ECS Fargate remains the recommended target for longer-running container workloads or services requiring more predictable runtime behaviour than Lambda. Amazon ECS supports EC2, Fargate and external capacity options; Fargate provides serverless container capacity while EC2 requires the team to manage instance capacity (Amazon Web Services, 2026c). For SmartRetailX, Fargate would reduce operational effort and support rolling ECS service deployments across two Availability Zones. It is deferred only because it adds cost to a student project. The report therefore treats it as a justified architectural recommendation, not as an implemented component.</w:t>
      </w:r>
    </w:p>
    <w:p>
      <w:r>
        <w:rPr>
          <w:rFonts w:ascii="Calibri" w:hAnsi="Calibri"/>
          <w:sz w:val="22"/>
        </w:rPr>
        <w:t>The mixed compute approach is justified by the different job types. Lambda suits request-driven APIs and short event handlers because the platform automatically provides the execution environment and scales the function when events arrive. ECS Fargate is more suitable for a continuously running container service, for example a notification delivery worker or a service needing longer connection handling. Using both is not automatically better: it increases the number of deployment patterns that a small team must understand. SmartRetailX should therefore keep the current Lambda components where they are effective and introduce Fargate only for a verified workload that benefits from it. This is a maintainability decision as well as a cost decision.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2F4F7"/>
          </w:tcPr>
          <w:p>
            <w:pPr>
              <w:spacing w:before="400" w:after="400"/>
              <w:jc w:val="center"/>
            </w:pPr>
            <w:r>
              <w:rPr>
                <w:rFonts w:ascii="Calibri" w:hAnsi="Calibri"/>
                <w:b/>
                <w:color w:val="555555"/>
                <w:sz w:val="22"/>
              </w:rPr>
              <w:t>[INSERT SCREENSHOT 2: API Gateway routes and Lambda/ECR deployment configuration]</w:t>
            </w:r>
          </w:p>
        </w:tc>
      </w:tr>
    </w:tbl>
    <w:p>
      <w:pPr>
        <w:spacing w:after="160"/>
        <w:jc w:val="center"/>
      </w:pPr>
      <w:r>
        <w:rPr>
          <w:rFonts w:ascii="Calibri" w:hAnsi="Calibri"/>
          <w:i/>
          <w:color w:val="555555"/>
          <w:sz w:val="20"/>
        </w:rPr>
        <w:t>Figure 2. API Gateway routes and Lambda/ECR deployment configuration.</w:t>
      </w:r>
    </w:p>
    <w:p>
      <w:pPr>
        <w:pStyle w:val="Heading2"/>
      </w:pPr>
      <w:r>
        <w:t>3.2 Data, networking and infrastructure as code</w:t>
      </w:r>
    </w:p>
    <w:p>
      <w:r>
        <w:rPr>
          <w:rFonts w:ascii="Calibri" w:hAnsi="Calibri"/>
          <w:sz w:val="22"/>
        </w:rPr>
        <w:t>DynamoDB is used as the operational data store. The project has separate products, inventory, payments, orders and outbox tables. This database-per-service approach reduces accidental coupling: the Order service cannot simply query the Payment table, because each Lambda role is restricted to the tables it needs. DynamoDB also suits the project because the key-based access patterns are known: product ID, inventory product ID, payment ID and order ID. The order table includes a customer-orders index for customer history and a sparse Saga-status index for exception recovery.</w:t>
      </w:r>
    </w:p>
    <w:p>
      <w:r>
        <w:rPr>
          <w:rFonts w:ascii="Calibri" w:hAnsi="Calibri"/>
          <w:sz w:val="22"/>
        </w:rPr>
        <w:t>Point-in-time recovery (PITR) is enabled for the core DynamoDB tables. PITR gives automatic continuous backups and can restore a table to a chosen point within the available window, although it restores into a new table (Amazon Web Services, 2026d). This supports recovery from accidental deletion or corrupted data. It is not a complete disaster-recovery plan by itself; the project still needs documented RTO/RPO values, restore exercises and a regional failover procedure.</w:t>
      </w:r>
    </w:p>
    <w:p>
      <w:r>
        <w:rPr>
          <w:rFonts w:ascii="Calibri" w:hAnsi="Calibri"/>
          <w:sz w:val="22"/>
        </w:rPr>
        <w:t>All declared cloud resources are managed with Terraform. Terraform defines the VPC, subnets, route tables, DynamoDB tables, event infrastructure, ECR, Lambda, API Gateway, Cognito, CloudFront and WAF. This makes the infrastructure repeatable rather than a collection of console changes. The completed development environment is in eu-west-1 and uses two private and two public subnets across two Availability Zones. The public subnets are reserved for the future load balancer and ECS target state. A genuine reproducibility limitation is that the only dev.tfvars input is ignored by Git, so a fresh clone needs the deployment variables supplied separately (SmartRetailX, 2026b).</w:t>
      </w:r>
    </w:p>
    <w:p>
      <w:r>
        <w:rPr>
          <w:rFonts w:ascii="Calibri" w:hAnsi="Calibri"/>
          <w:sz w:val="22"/>
        </w:rPr>
        <w:t>The private application subnets deliberately have no default internet route and no NAT gateway. Six Lambda functions reach DynamoDB through a gateway endpoint and EventBridge through an interface endpoint. This reduces cost and reduces unnecessary egress. The Order API is the exception because it calls the public API Gateway endpoints used by the other services; placing it in the private subnet would require a NAT gateway or a different API design. The trade-off is made explicit rather than hidden: one function has controlled public egress, while the others are limited by routes, security groups and IAM.</w:t>
      </w:r>
    </w:p>
    <w:p>
      <w:pPr>
        <w:pStyle w:val="Heading1"/>
      </w:pPr>
      <w:r>
        <w:t>4. Implementation</w:t>
      </w:r>
    </w:p>
    <w:p>
      <w:pPr>
        <w:pStyle w:val="Heading2"/>
      </w:pPr>
      <w:r>
        <w:t>4.1 Microservices and APIs</w:t>
      </w:r>
    </w:p>
    <w:p>
      <w:r>
        <w:rPr>
          <w:rFonts w:ascii="Calibri" w:hAnsi="Calibri"/>
          <w:sz w:val="22"/>
        </w:rPr>
        <w:t>The Product Catalogue service owns product details such as name, description, price, category, image URL and active status. It exposes health, create, read, update, activation and paginated listing endpoints. Prices are represented as Decimal values and sent as JSON strings rather than floating-point numbers. This is important because binary floating point can introduce rounding errors in currency values. Product deletion is implemented as a soft delete using the active flag, preserving historical order references and allowing an administrator to reactivate a product later (SmartRetailX, 2026b).</w:t>
      </w:r>
    </w:p>
    <w:p>
      <w:r>
        <w:rPr>
          <w:rFonts w:ascii="Calibri" w:hAnsi="Calibri"/>
          <w:sz w:val="22"/>
        </w:rPr>
        <w:t>The Inventory service stores available and reserved quantities for each product. It exposes operations to add stock, reserve stock, release a reservation and confirm a reservation. Conditional writes and transactions ensure that inventory cannot fall below zero when requests arrive at the same time. The service uses an all-or-nothing reservation approach for a basket. This is preferable to reducing stock immediately because a failed payment can release the reservation instead of incorrectly removing sellable stock.</w:t>
      </w:r>
    </w:p>
    <w:p>
      <w:r>
        <w:rPr>
          <w:rFonts w:ascii="Calibri" w:hAnsi="Calibri"/>
          <w:sz w:val="22"/>
        </w:rPr>
        <w:t>The Payment service contains a provider interface and a mock provider for safe development testing. It accepts a token and amount, creates a payment record and returns a transaction reference. Raw card numbers, CVVs and expiry values are neither stored in the model nor written into DynamoDB. The token is not persisted after use. This reduces the data held by the project and is a sensible first step towards a lower PCI-DSS burden. A production version would replace the mock provider with a PCI-compliant payment service provider and would need to record its contractual and security boundaries.</w:t>
      </w:r>
    </w:p>
    <w:p>
      <w:r>
        <w:rPr>
          <w:rFonts w:ascii="Calibri" w:hAnsi="Calibri"/>
          <w:sz w:val="22"/>
        </w:rPr>
        <w:t>The Order service is the orchestration point for checkout. It receives a basket, reads product information to calculate a snapshot price, asks Inventory to reserve all requested quantities, calls Payment, confirms the reservation and stores the final order. The system has states for normal progress and for uncertainty, including STOCK_UNKNOWN and PAYMENT_UNKNOWN. These states are important because distributed calls can time out without making it clear whether the downstream action happened. Instead of guessing, the order is kept visible for manual recovery through the sparse index (SmartRetailX, 2026b).</w:t>
      </w:r>
    </w:p>
    <w:tbl>
      <w:tblPr>
        <w:tblStyle w:val="TableGrid"/>
        <w:tblW w:type="dxa" w:w="9360"/>
        <w:jc w:val="left"/>
        <w:tblLayout w:type="fixed"/>
        <w:tblLook w:firstColumn="1" w:firstRow="1" w:lastColumn="0" w:lastRow="0" w:noHBand="0" w:noVBand="1" w:val="04A0"/>
        <w:tblInd w:w="120" w:type="dxa"/>
      </w:tblPr>
      <w:tblGrid>
        <w:gridCol w:w="1944"/>
        <w:gridCol w:w="3528"/>
        <w:gridCol w:w="3888"/>
      </w:tblGrid>
      <w:tr>
        <w:trPr>
          <w:tblHeader w:val="true"/>
        </w:trPr>
        <w:tc>
          <w:tcPr>
            <w:tcW w:type="dxa" w:w="1944"/>
            <w:vAlign w:val="center"/>
            <w:tcMar>
              <w:top w:w="80" w:type="dxa"/>
              <w:start w:w="120" w:type="dxa"/>
              <w:bottom w:w="80" w:type="dxa"/>
              <w:end w:w="120" w:type="dxa"/>
            </w:tcMar>
            <w:shd w:fill="F4F6F9"/>
          </w:tcPr>
          <w:p>
            <w:r>
              <w:rPr>
                <w:rFonts w:ascii="Calibri" w:hAnsi="Calibri"/>
                <w:b/>
                <w:color w:val="1F4D78"/>
                <w:sz w:val="20"/>
              </w:rPr>
              <w:t>Service</w:t>
            </w:r>
          </w:p>
        </w:tc>
        <w:tc>
          <w:tcPr>
            <w:tcW w:type="dxa" w:w="3528"/>
            <w:vAlign w:val="center"/>
            <w:tcMar>
              <w:top w:w="80" w:type="dxa"/>
              <w:start w:w="120" w:type="dxa"/>
              <w:bottom w:w="80" w:type="dxa"/>
              <w:end w:w="120" w:type="dxa"/>
            </w:tcMar>
            <w:shd w:fill="F4F6F9"/>
          </w:tcPr>
          <w:p>
            <w:r>
              <w:rPr>
                <w:rFonts w:ascii="Calibri" w:hAnsi="Calibri"/>
                <w:b/>
                <w:color w:val="1F4D78"/>
                <w:sz w:val="20"/>
              </w:rPr>
              <w:t>Main responsibility</w:t>
            </w:r>
          </w:p>
        </w:tc>
        <w:tc>
          <w:tcPr>
            <w:tcW w:type="dxa" w:w="3888"/>
            <w:vAlign w:val="center"/>
            <w:tcMar>
              <w:top w:w="80" w:type="dxa"/>
              <w:start w:w="120" w:type="dxa"/>
              <w:bottom w:w="80" w:type="dxa"/>
              <w:end w:w="120" w:type="dxa"/>
            </w:tcMar>
            <w:shd w:fill="F4F6F9"/>
          </w:tcPr>
          <w:p>
            <w:r>
              <w:rPr>
                <w:rFonts w:ascii="Calibri" w:hAnsi="Calibri"/>
                <w:b/>
                <w:color w:val="1F4D78"/>
                <w:sz w:val="20"/>
              </w:rPr>
              <w:t>Key interfaces</w:t>
            </w:r>
          </w:p>
        </w:tc>
      </w:tr>
      <w:tr>
        <w:tc>
          <w:tcPr>
            <w:tcW w:type="dxa" w:w="1944"/>
          </w:tcPr>
          <w:p>
            <w:r>
              <w:rPr>
                <w:rFonts w:ascii="Calibri" w:hAnsi="Calibri"/>
                <w:sz w:val="19"/>
              </w:rPr>
              <w:t>Product Catalogue</w:t>
            </w:r>
          </w:p>
        </w:tc>
        <w:tc>
          <w:tcPr>
            <w:tcW w:type="dxa" w:w="3528"/>
          </w:tcPr>
          <w:p>
            <w:r>
              <w:rPr>
                <w:rFonts w:ascii="Calibri" w:hAnsi="Calibri"/>
                <w:sz w:val="19"/>
              </w:rPr>
              <w:t>Own product information and publish ProductCreated.</w:t>
            </w:r>
          </w:p>
        </w:tc>
        <w:tc>
          <w:tcPr>
            <w:tcW w:type="dxa" w:w="3888"/>
          </w:tcPr>
          <w:p>
            <w:r>
              <w:rPr>
                <w:rFonts w:ascii="Calibri" w:hAnsi="Calibri"/>
                <w:sz w:val="19"/>
              </w:rPr>
              <w:t>REST API; DynamoDB transaction; outbox.</w:t>
            </w:r>
          </w:p>
        </w:tc>
      </w:tr>
      <w:tr>
        <w:tc>
          <w:tcPr>
            <w:tcW w:type="dxa" w:w="1944"/>
          </w:tcPr>
          <w:p>
            <w:r>
              <w:rPr>
                <w:rFonts w:ascii="Calibri" w:hAnsi="Calibri"/>
                <w:sz w:val="19"/>
              </w:rPr>
              <w:t>Inventory</w:t>
            </w:r>
          </w:p>
        </w:tc>
        <w:tc>
          <w:tcPr>
            <w:tcW w:type="dxa" w:w="3528"/>
          </w:tcPr>
          <w:p>
            <w:r>
              <w:rPr>
                <w:rFonts w:ascii="Calibri" w:hAnsi="Calibri"/>
                <w:sz w:val="19"/>
              </w:rPr>
              <w:t>Prevent overselling and track reservations.</w:t>
            </w:r>
          </w:p>
        </w:tc>
        <w:tc>
          <w:tcPr>
            <w:tcW w:type="dxa" w:w="3888"/>
          </w:tcPr>
          <w:p>
            <w:r>
              <w:rPr>
                <w:rFonts w:ascii="Calibri" w:hAnsi="Calibri"/>
                <w:sz w:val="19"/>
              </w:rPr>
              <w:t>REST API; DynamoDB; SQS consumer.</w:t>
            </w:r>
          </w:p>
        </w:tc>
      </w:tr>
      <w:tr>
        <w:tc>
          <w:tcPr>
            <w:tcW w:type="dxa" w:w="1944"/>
          </w:tcPr>
          <w:p>
            <w:r>
              <w:rPr>
                <w:rFonts w:ascii="Calibri" w:hAnsi="Calibri"/>
                <w:sz w:val="19"/>
              </w:rPr>
              <w:t>Payment</w:t>
            </w:r>
          </w:p>
        </w:tc>
        <w:tc>
          <w:tcPr>
            <w:tcW w:type="dxa" w:w="3528"/>
          </w:tcPr>
          <w:p>
            <w:r>
              <w:rPr>
                <w:rFonts w:ascii="Calibri" w:hAnsi="Calibri"/>
                <w:sz w:val="19"/>
              </w:rPr>
              <w:t>Charge a token and store payment result.</w:t>
            </w:r>
          </w:p>
        </w:tc>
        <w:tc>
          <w:tcPr>
            <w:tcW w:type="dxa" w:w="3888"/>
          </w:tcPr>
          <w:p>
            <w:r>
              <w:rPr>
                <w:rFonts w:ascii="Calibri" w:hAnsi="Calibri"/>
                <w:sz w:val="19"/>
              </w:rPr>
              <w:t>REST API; provider abstraction; DynamoDB.</w:t>
            </w:r>
          </w:p>
        </w:tc>
      </w:tr>
      <w:tr>
        <w:tc>
          <w:tcPr>
            <w:tcW w:type="dxa" w:w="1944"/>
          </w:tcPr>
          <w:p>
            <w:r>
              <w:rPr>
                <w:rFonts w:ascii="Calibri" w:hAnsi="Calibri"/>
                <w:sz w:val="19"/>
              </w:rPr>
              <w:t>Order</w:t>
            </w:r>
          </w:p>
        </w:tc>
        <w:tc>
          <w:tcPr>
            <w:tcW w:type="dxa" w:w="3528"/>
          </w:tcPr>
          <w:p>
            <w:r>
              <w:rPr>
                <w:rFonts w:ascii="Calibri" w:hAnsi="Calibri"/>
                <w:sz w:val="19"/>
              </w:rPr>
              <w:t>Coordinate checkout and compensate failures.</w:t>
            </w:r>
          </w:p>
        </w:tc>
        <w:tc>
          <w:tcPr>
            <w:tcW w:type="dxa" w:w="3888"/>
          </w:tcPr>
          <w:p>
            <w:r>
              <w:rPr>
                <w:rFonts w:ascii="Calibri" w:hAnsi="Calibri"/>
                <w:sz w:val="19"/>
              </w:rPr>
              <w:t>REST API; Saga; order outbox.</w:t>
            </w:r>
          </w:p>
        </w:tc>
      </w:tr>
    </w:tbl>
    <w:p>
      <w:pPr>
        <w:spacing w:after="40"/>
      </w:pPr>
    </w:p>
    <w:p>
      <w:pPr>
        <w:pStyle w:val="Heading2"/>
      </w:pPr>
      <w:r>
        <w:t>4.2 Deployment and frontend implementation</w:t>
      </w:r>
    </w:p>
    <w:p>
      <w:r>
        <w:rPr>
          <w:rFonts w:ascii="Calibri" w:hAnsi="Calibri"/>
          <w:sz w:val="22"/>
        </w:rPr>
        <w:t>Each backend service has a Dockerfile and Python dependency file. The Docker images are pushed to ECR, where scan-on-push and a five-image lifecycle policy help manage security and storage cost. The Lambda functions use the container images rather than ZIP archives. The product, inventory, payment and order services are exposed through API Gateway, while the outbox relay and inventory consumer are triggered by DynamoDB Streams and SQS respectively. This shows that the implementation is distributed even though not all components are HTTP services.</w:t>
      </w:r>
    </w:p>
    <w:p>
      <w:r>
        <w:rPr>
          <w:rFonts w:ascii="Calibri" w:hAnsi="Calibri"/>
          <w:sz w:val="22"/>
        </w:rPr>
        <w:t>The frontend has a product grid, product detail page, local cart, checkout, customer order history and an administrator panel. Cognito authentication is integrated using the Hosted UI authorisation-code flow with PKCE. The frontend build has not yet been uploaded to the provisioned S3/CloudFront environment, so the current user interface should be described as locally implemented rather than publicly deployed. Before submission, the deployment should be completed and evidence should show customer checkout, customer order access and administrator actions.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2F4F7"/>
          </w:tcPr>
          <w:p>
            <w:pPr>
              <w:spacing w:before="400" w:after="400"/>
              <w:jc w:val="center"/>
            </w:pPr>
            <w:r>
              <w:rPr>
                <w:rFonts w:ascii="Calibri" w:hAnsi="Calibri"/>
                <w:b/>
                <w:color w:val="555555"/>
                <w:sz w:val="22"/>
              </w:rPr>
              <w:t>[INSERT SCREENSHOT 3: React storefront showing product catalogue, cart and authenticated customer order history]</w:t>
            </w:r>
          </w:p>
        </w:tc>
      </w:tr>
    </w:tbl>
    <w:p>
      <w:pPr>
        <w:spacing w:after="160"/>
        <w:jc w:val="center"/>
      </w:pPr>
      <w:r>
        <w:rPr>
          <w:rFonts w:ascii="Calibri" w:hAnsi="Calibri"/>
          <w:i/>
          <w:color w:val="555555"/>
          <w:sz w:val="20"/>
        </w:rPr>
        <w:t>Figure 3. React storefront showing product catalogue, cart and authenticated customer order history.</w:t>
      </w:r>
    </w:p>
    <w:p>
      <w:pPr>
        <w:pStyle w:val="Heading1"/>
      </w:pPr>
      <w:r>
        <w:t>5. Event-driven processing and consistency</w:t>
      </w:r>
    </w:p>
    <w:p>
      <w:pPr>
        <w:pStyle w:val="Heading2"/>
      </w:pPr>
      <w:r>
        <w:t>5.1 Product-created event flow</w:t>
      </w:r>
    </w:p>
    <w:p>
      <w:r>
        <w:rPr>
          <w:rFonts w:ascii="Calibri" w:hAnsi="Calibri"/>
          <w:sz w:val="22"/>
        </w:rPr>
        <w:t>A key design challenge in distributed systems is the dual-write problem. If Product Catalogue writes a product record and then separately publishes an event, the database write could succeed while the event publication fails. Inventory would then never create its stock record. SmartRetailX addresses this with the transactional outbox pattern. Product creation writes the product and a PENDING outbox event in a single DynamoDB transaction. DynamoDB transactions provide all-or-nothing changes across items and tables, which protects the relationship between the business record and the event record (Amazon Web Services, 2026e).</w:t>
      </w:r>
    </w:p>
    <w:p>
      <w:r>
        <w:rPr>
          <w:rFonts w:ascii="Calibri" w:hAnsi="Calibri"/>
          <w:sz w:val="22"/>
        </w:rPr>
        <w:t>A DynamoDB Stream invokes the outbox relay when a new outbox item appears. The relay publishes ProductCreated to EventBridge, marks the event as published and gives the record a time to live. EventBridge routes matching events to an SQS inventory queue. SQS then invokes the Inventory consumer, which creates an empty inventory record using a conditional write. EventBridge is appropriate because it provides event routing without direct producer-to-consumer knowledge, and SQS lets the consumer process messages at its own rate (Amazon Web Services, 2026f).</w:t>
      </w:r>
    </w:p>
    <w:p>
      <w:r>
        <w:rPr>
          <w:rFonts w:ascii="Calibri" w:hAnsi="Calibri"/>
          <w:sz w:val="22"/>
        </w:rPr>
        <w:t>The SQS dead-letter queue supports failure investigation. After the configured maximum receive count, a message that cannot be processed is moved aside rather than retried forever. AWS describes DLQs as a way to isolate unprocessed messages for debugging and redrive (Amazon Web Services, 2026g). The implemented design uses a 14-day retention period and three receives. A future monitoring alarm should notify the team whenever a DLQ message appears, since a queue alone does not solve the operational problem unless someone notices it.</w:t>
      </w:r>
    </w:p>
    <w:p>
      <w:r>
        <w:rPr>
          <w:rFonts w:ascii="Calibri" w:hAnsi="Calibri"/>
          <w:sz w:val="22"/>
        </w:rPr>
        <w:t>Event delivery is eventually consistent. A product can be returned by the Product API before the asynchronous consumer has created its inventory record. The interface should handle this short delay safely, for example by showing that stock information is being prepared rather than reporting an incorrect quantity. The Inventory consumer is idempotent because it uses a conditional write: receiving the same ProductCreated event more than once does not create a second record. This matters because queues generally provide at-least-once delivery and a consumer must assume that retry behaviour can cause duplicate messages. The report should therefore describe event-driven processing as a useful trade-off between loose coupling and immediate cross-service consistency.</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2F4F7"/>
          </w:tcPr>
          <w:p>
            <w:pPr>
              <w:spacing w:before="400" w:after="400"/>
              <w:jc w:val="center"/>
            </w:pPr>
            <w:r>
              <w:rPr>
                <w:rFonts w:ascii="Calibri" w:hAnsi="Calibri"/>
                <w:b/>
                <w:color w:val="555555"/>
                <w:sz w:val="22"/>
              </w:rPr>
              <w:t>[INSERT SCREENSHOT 4: ProductCreated flow: Product service, DynamoDB outbox, Lambda relay, EventBridge, SQS and Inventory consumer]</w:t>
            </w:r>
          </w:p>
        </w:tc>
      </w:tr>
    </w:tbl>
    <w:p>
      <w:pPr>
        <w:spacing w:after="160"/>
        <w:jc w:val="center"/>
      </w:pPr>
      <w:r>
        <w:rPr>
          <w:rFonts w:ascii="Calibri" w:hAnsi="Calibri"/>
          <w:i/>
          <w:color w:val="555555"/>
          <w:sz w:val="20"/>
        </w:rPr>
        <w:t>Figure 4. ProductCreated flow: Product service, DynamoDB outbox, Lambda relay, EventBridge, SQS and Inventory consumer.</w:t>
      </w:r>
    </w:p>
    <w:p>
      <w:pPr>
        <w:pStyle w:val="Heading2"/>
      </w:pPr>
      <w:r>
        <w:t>5.2 Checkout Saga</w:t>
      </w:r>
    </w:p>
    <w:p>
      <w:r>
        <w:rPr>
          <w:rFonts w:ascii="Calibri" w:hAnsi="Calibri"/>
          <w:sz w:val="22"/>
        </w:rPr>
        <w:t>The checkout sequence is a Saga because a normal database transaction cannot span several independently owned services. The Order service first obtains the current products and price, then reserves stock, requests payment and confirms the stock reservation. If payment is declined, it calls Inventory to release the reservation and stores the order as FAILED. If stock is insufficient, it rejects the order before charging the customer. This form of compensating action follows the idea of Sagas for long-lived transactions: instead of relying on one global lock, each step has a corresponding recovery action (Garcia-Molina and Salem, 1987).</w:t>
      </w:r>
    </w:p>
    <w:p>
      <w:r>
        <w:rPr>
          <w:rFonts w:ascii="Calibri" w:hAnsi="Calibri"/>
          <w:sz w:val="22"/>
        </w:rPr>
        <w:t>This design deliberately reserves stock before charging payment. A card charge is usually a more costly or externally visible action to reverse than an inventory reservation. Reserving first also prevents two customers from both successfully purchasing the final unit. However, the implementation still needs a price-change check and circuit breaker before it can be treated as fully resilient. The price check should compare the customer-visible price with the latest authoritative catalogue price. The circuit breaker should stop repeated calls to an unhealthy downstream service and protect the system from cascades of timeouts.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2F4F7"/>
          </w:tcPr>
          <w:p>
            <w:pPr>
              <w:spacing w:before="400" w:after="400"/>
              <w:jc w:val="center"/>
            </w:pPr>
            <w:r>
              <w:rPr>
                <w:rFonts w:ascii="Calibri" w:hAnsi="Calibri"/>
                <w:b/>
                <w:color w:val="555555"/>
                <w:sz w:val="22"/>
              </w:rPr>
              <w:t>[INSERT SCREENSHOT 5: Checkout Saga showing reserve stock, take payment, confirm stock, and compensation on failure]</w:t>
            </w:r>
          </w:p>
        </w:tc>
      </w:tr>
    </w:tbl>
    <w:p>
      <w:pPr>
        <w:spacing w:after="160"/>
        <w:jc w:val="center"/>
      </w:pPr>
      <w:r>
        <w:rPr>
          <w:rFonts w:ascii="Calibri" w:hAnsi="Calibri"/>
          <w:i/>
          <w:color w:val="555555"/>
          <w:sz w:val="20"/>
        </w:rPr>
        <w:t>Figure 5. Checkout Saga showing reserve stock, take payment, confirm stock, and compensation on failure.</w:t>
      </w:r>
    </w:p>
    <w:p>
      <w:pPr>
        <w:pStyle w:val="Heading1"/>
      </w:pPr>
      <w:r>
        <w:t>6. Security, resilience and scalability</w:t>
      </w:r>
    </w:p>
    <w:p>
      <w:pPr>
        <w:pStyle w:val="Heading2"/>
      </w:pPr>
      <w:r>
        <w:t>6.1 Identity and access control</w:t>
      </w:r>
    </w:p>
    <w:p>
      <w:r>
        <w:rPr>
          <w:rFonts w:ascii="Calibri" w:hAnsi="Calibri"/>
          <w:sz w:val="22"/>
        </w:rPr>
        <w:t>SmartRetailX uses Amazon Cognito for customer sign-up and sign-in. The implemented configuration has customer and administrator groups, a Hosted UI and a post-confirmation Lambda that assigns newly confirmed users to the customer group. The browser uses OAuth 2.0 authorisation-code flow with PKCE, so it does not contain an AWS secret. API Gateway validates the Cognito JWT on protected routes before requests are sent to the service. API Gateway HTTP API JWT authorizers validate the signature and claims in the token and can enforce route scopes (Amazon Web Services, 2026h).</w:t>
      </w:r>
    </w:p>
    <w:p>
      <w:r>
        <w:rPr>
          <w:rFonts w:ascii="Calibri" w:hAnsi="Calibri"/>
          <w:sz w:val="22"/>
        </w:rPr>
        <w:t>Authorisation is applied in more than one layer. API Gateway rejects unauthenticated requests, and service code uses claims for roles and customer ownership. For example, a customer can see only orders whose customer ID matches the Cognito subject claim, while administrator routes perform catalogue or inventory actions. The Order service replaces any user-supplied customer ID with the trusted Cognito subject. This protects against an insecure direct object reference where a customer attempts to request another customer's order.</w:t>
      </w:r>
    </w:p>
    <w:p>
      <w:r>
        <w:rPr>
          <w:rFonts w:ascii="Calibri" w:hAnsi="Calibri"/>
          <w:sz w:val="22"/>
        </w:rPr>
        <w:t>Least-privilege IAM is also used. The inventory consumer can write initial inventory records but cannot read or change existing stock. The outbox relay can read its DynamoDB Stream, update its outbox item and publish to the event bus, but does not have broad access to product or inventory tables. This layered approach supports Zero Trust principles: a successful login does not automatically allow access to every resource. NIST notes that microservices can be independently developed and scaled, but their many interactions also require explicit security strategies (NIST, 2020).</w:t>
      </w:r>
    </w:p>
    <w:p>
      <w:pPr>
        <w:pStyle w:val="Heading2"/>
      </w:pPr>
      <w:r>
        <w:t>6.2 Current protections and required work</w:t>
      </w:r>
    </w:p>
    <w:p>
      <w:r>
        <w:rPr>
          <w:rFonts w:ascii="Calibri" w:hAnsi="Calibri"/>
          <w:sz w:val="22"/>
        </w:rPr>
        <w:t>The network uses two Availability Zones, private application subnets, security groups, network ACLs, VPC endpoints and VPC Flow Logs. The public edge has CloudFront and AWS WAF with common rules, known-bad-input rules and a rate limit. The S3 frontend origin is private, versioned and encrypted. These measures are helpful, but they do not complete the security requirement. The checklist still requires customer-managed KMS keys or a documented secrets approach, security testing, GDPR evidence and a clear PCI-DSS discussion based on the final payment provider.</w:t>
      </w:r>
    </w:p>
    <w:p>
      <w:r>
        <w:rPr>
          <w:rFonts w:ascii="Calibri" w:hAnsi="Calibri"/>
          <w:sz w:val="22"/>
        </w:rPr>
        <w:t>The proposed disaster-recovery design uses eu-west-1 as the primary region and a second AWS region as the recovery region. Terraform should reproduce the VPC, APIs, service configuration and edge dependencies. DynamoDB Global Tables, cross-region S3 replication and Route 53 health-check failover are suitable candidate technologies. AWS recommends choosing recovery strategies according to recovery objectives, ranging from backup-and-restore through pilot light and warm standby to active-active operation (Amazon Web Services, 2026i). The selected approach should balance the assignment's resilience requirement against the cost and complexity of maintaining duplicate always-on services.</w:t>
      </w:r>
    </w:p>
    <w:p>
      <w:r>
        <w:rPr>
          <w:rFonts w:ascii="Calibri" w:hAnsi="Calibri"/>
          <w:sz w:val="22"/>
        </w:rPr>
        <w:t>A sensible student-project target is a pilot-light recovery region. Infrastructure and essential data replication are prepared in the second region, while container capacity remains minimal until failover. The final project must set target RTO and RPO values, demonstrate a restore or failover exercise, and explain what data may be lost. The current two-AZ deployment offers useful protection against an Availability Zone failure, but it does not protect the application from a complete eu-west-1 outage.</w:t>
      </w:r>
    </w:p>
    <w:p>
      <w:r>
        <w:rPr>
          <w:rFonts w:ascii="Calibri" w:hAnsi="Calibri"/>
          <w:sz w:val="22"/>
        </w:rPr>
        <w:t>Cost efficiency is part of the architecture rather than an afterthought. DynamoDB uses on-demand capacity, Lambda avoids idle server cost for low traffic, ECR lifecycle rules remove old images, CloudFront uses a limited price class, and the VPC avoids a NAT gateway. These decisions are reasonable for a student workload, but the final evidence should include a budget alert, a short expected-cost explanation and a teardown procedure. The project should also state that the Fargate deferral reduces current cost but leaves a required deployment scenario unproven. A lower bill is not by itself a justification if it removes an assessed capability without a clear plan to validate it later.</w:t>
      </w:r>
    </w:p>
    <w:p>
      <w:pPr>
        <w:pStyle w:val="Heading1"/>
      </w:pPr>
      <w:r>
        <w:t>7. Testing and evaluation</w:t>
      </w:r>
    </w:p>
    <w:p>
      <w:r>
        <w:rPr>
          <w:rFonts w:ascii="Calibri" w:hAnsi="Calibri"/>
          <w:sz w:val="22"/>
        </w:rPr>
        <w:t>The repository includes automated Python tests for the Product Catalogue, Inventory, Payment and Order services. The implementation record reports 16 product tests, 20 inventory tests, 14 payment tests and 26 order/Saga tests. The tests cover normal behaviour and important failures, such as stock reservation, payment decline, compensation and unavailable product records. A local k6 test targets overselling under concurrent requests. This is a strong foundation because the risk of accepting two purchases for one item is a genuine business failure, not merely a technical error (SmartRetailX, 2026b).</w:t>
      </w:r>
    </w:p>
    <w:p>
      <w:r>
        <w:rPr>
          <w:rFonts w:ascii="Calibri" w:hAnsi="Calibri"/>
          <w:sz w:val="22"/>
        </w:rPr>
        <w:t>The current test evidence has limitations. The checklist states that production performance tests, security tests, UI tests, complete customer journeys and consolidated screenshots are still needed (SmartRetailX, 2026c). Performance testing should measure response time percentiles, throughput, error rate and concurrent-user behaviour against deployed infrastructure. Security testing should include expired or invalid JWTs, attempts to access another customer's order, administrator-role checks, input validation and dependency scanning. End-to-end testing should cover sign-up, browsing, checkout, confirmation, decline compensation and administrator stock adjustment.</w:t>
      </w:r>
    </w:p>
    <w:p>
      <w:r>
        <w:rPr>
          <w:rFonts w:ascii="Calibri" w:hAnsi="Calibri"/>
          <w:sz w:val="22"/>
        </w:rPr>
        <w:t>Monitoring is also required to interpret test results in a distributed system. The existing configuration has API access logs, Lambda log groups and VPC Flow Logs, but no dashboard, alarms or verified X-Ray traces. The final design should add CloudWatch metrics and alarms for Lambda errors, API 4xx/5xx responses, queue age, DLQ message count, DynamoDB throttling and compensation failures. Correlation IDs must be added to all inbound requests, events and log records so that one checkout can be followed across Product, Inventory, Payment and Order services.</w:t>
      </w:r>
    </w:p>
    <w:p>
      <w:r>
        <w:rPr>
          <w:rFonts w:ascii="Calibri" w:hAnsi="Calibri"/>
          <w:sz w:val="22"/>
        </w:rPr>
        <w:t>The evaluation should not only list passing tests. It should connect each result to a risk. A successful stock-reservation concurrency test supports the claim that the service prevents overselling. A forced payment decline supports the claim that the Saga releases stock. An unauthenticated 401 response and a customer 403 response support the JWT and role checks. For each result, the final report should state the test input, expected behaviour, observed result and limitation. This makes the evaluation critical rather than descriptive and helps the reader see which claims are proven by evidence rather than by design intent.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2F4F7"/>
          </w:tcPr>
          <w:p>
            <w:pPr>
              <w:spacing w:before="400" w:after="400"/>
              <w:jc w:val="center"/>
            </w:pPr>
            <w:r>
              <w:rPr>
                <w:rFonts w:ascii="Calibri" w:hAnsi="Calibri"/>
                <w:b/>
                <w:color w:val="555555"/>
                <w:sz w:val="22"/>
              </w:rPr>
              <w:t>[INSERT SCREENSHOT 6: Automated test output and k6 oversell-prevention result]</w:t>
            </w:r>
          </w:p>
        </w:tc>
      </w:tr>
    </w:tbl>
    <w:p>
      <w:pPr>
        <w:spacing w:after="160"/>
        <w:jc w:val="center"/>
      </w:pPr>
      <w:r>
        <w:rPr>
          <w:rFonts w:ascii="Calibri" w:hAnsi="Calibri"/>
          <w:i/>
          <w:color w:val="555555"/>
          <w:sz w:val="20"/>
        </w:rPr>
        <w:t>Figure 6. Automated test output and k6 oversell-prevention result.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2F4F7"/>
          </w:tcPr>
          <w:p>
            <w:pPr>
              <w:spacing w:before="400" w:after="400"/>
              <w:jc w:val="center"/>
            </w:pPr>
            <w:r>
              <w:rPr>
                <w:rFonts w:ascii="Calibri" w:hAnsi="Calibri"/>
                <w:b/>
                <w:color w:val="555555"/>
                <w:sz w:val="22"/>
              </w:rPr>
              <w:t>[INSERT SCREENSHOT 7: CloudWatch dashboard, X-Ray trace and DLQ alarm after observability implementation]</w:t>
            </w:r>
          </w:p>
        </w:tc>
      </w:tr>
    </w:tbl>
    <w:p>
      <w:pPr>
        <w:spacing w:after="160"/>
        <w:jc w:val="center"/>
      </w:pPr>
      <w:r>
        <w:rPr>
          <w:rFonts w:ascii="Calibri" w:hAnsi="Calibri"/>
          <w:i/>
          <w:color w:val="555555"/>
          <w:sz w:val="20"/>
        </w:rPr>
        <w:t>Figure 7. CloudWatch dashboard, X-Ray trace and DLQ alarm after observability implementation.</w:t>
      </w:r>
    </w:p>
    <w:p>
      <w:pPr>
        <w:pStyle w:val="Heading1"/>
      </w:pPr>
      <w:r>
        <w:t>8. Remaining work and future improvements</w:t>
      </w:r>
    </w:p>
    <w:p>
      <w:r>
        <w:rPr>
          <w:rFonts w:ascii="Calibri" w:hAnsi="Calibri"/>
          <w:sz w:val="22"/>
        </w:rPr>
        <w:t>The checklist is a practical roadmap for completing the submission rather than a reason to overstate the present system. The highest priorities are deployment correctness and evidence: prove successful, declined and insufficient-stock checkout through the deployed API; deploy the frontend; capture the required screenshots; and verify that the outbox events are published. The next priority is assessment coverage: deliver container orchestration, WebSocket-based status updates, observability, performance results, security testing and disaster recovery evidence.</w:t>
      </w:r>
    </w:p>
    <w:p>
      <w:r>
        <w:rPr>
          <w:rFonts w:ascii="Calibri" w:hAnsi="Calibri"/>
          <w:sz w:val="22"/>
        </w:rPr>
        <w:t>Several functional improvements would make the platform more complete. The Notification service should consume order and delivery events idempotently and provide an in-app notification feed. A User Profile service should hold addresses, loyalty information and consent records under strict ownership checks. Delivery tracking should introduce explicit delivery states and publish updates. Product-price integrity should be checked at checkout, and the product and order models should carry an ISO-4217 currency code rather than assuming a single two-decimal currency.</w:t>
      </w:r>
    </w:p>
    <w:p>
      <w:r>
        <w:rPr>
          <w:rFonts w:ascii="Calibri" w:hAnsi="Calibri"/>
          <w:sz w:val="22"/>
        </w:rPr>
        <w:t>The engineering delivery process also needs improvement. A GitHub Actions pipeline should run backend and frontend tests, linting, dependency scanning, Docker builds and Terraform validation before release. Staging and production variable sets should be added, alongside a documented Terraform remote-state approach. The architecture diagrams and OpenAPI definitions must be completed, and the evidence log should be filled in as tests run. These additions will make the work easier to validate and maintain, rather than merely making the report longer.</w:t>
      </w:r>
    </w:p>
    <w:p>
      <w:pPr>
        <w:pStyle w:val="Heading1"/>
      </w:pPr>
      <w:r>
        <w:t>9. Conclusion</w:t>
      </w:r>
    </w:p>
    <w:p>
      <w:r>
        <w:rPr>
          <w:rFonts w:ascii="Calibri" w:hAnsi="Calibri"/>
          <w:sz w:val="22"/>
        </w:rPr>
        <w:t>SmartRetailX demonstrates a credible move from a monolithic retail application to a cloud-native distributed design. The completed core provides four domain-focused services, a React interface, API Gateway, Cognito, DynamoDB, Terraform, a two-AZ network and event-driven stock creation. The most technically significant implementation is the checkout Saga combined with transactional outbox publishing. It protects stock consistency, manages payment failure through compensation and provides a recovery path for uncertain outcomes.</w:t>
      </w:r>
    </w:p>
    <w:p>
      <w:r>
        <w:rPr>
          <w:rFonts w:ascii="Calibri" w:hAnsi="Calibri"/>
          <w:sz w:val="22"/>
        </w:rPr>
        <w:t>The project is not yet complete against the full assessment brief. In particular, it needs ECS Fargate deployment evidence, WebSocket updates, formal monitoring, multi-region recovery, stronger security and performance testing, and a consolidated evidence set. These are not cosmetic additions: they are needed to prove that the distributed system is secure, observable, scalable and resilient. By completing the checklist and replacing the labelled placeholders with real screenshots and results, the final report can present both a coherent architecture and honest implementation evidence.</w:t>
      </w:r>
    </w:p>
    <w:p>
      <w:pPr>
        <w:pStyle w:val="Heading1"/>
      </w:pPr>
      <w:r>
        <w:t>References</w:t>
      </w:r>
    </w:p>
    <w:p>
      <w:pPr>
        <w:spacing w:after="80"/>
        <w:ind w:left="432" w:hanging="432"/>
      </w:pPr>
      <w:r>
        <w:rPr>
          <w:rFonts w:ascii="Calibri" w:hAnsi="Calibri"/>
          <w:sz w:val="20"/>
        </w:rPr>
        <w:t>Amazon Web Services (2026a) Restrict access to an Amazon S3 origin. Available at: https://docs.aws.amazon.com/AmazonCloudFront/latest/DeveloperGuide/private-content-restricting-access-to-s3.html (Accessed: 17 August 2026).</w:t>
      </w:r>
    </w:p>
    <w:p>
      <w:pPr>
        <w:spacing w:after="80"/>
        <w:ind w:left="432" w:hanging="432"/>
      </w:pPr>
      <w:r>
        <w:rPr>
          <w:rFonts w:ascii="Calibri" w:hAnsi="Calibri"/>
          <w:sz w:val="20"/>
        </w:rPr>
        <w:t>Amazon Web Services (2026b) AWS Lambda documentation. Available at: https://docs.aws.amazon.com/lambda/ (Accessed: 17 August 2026).</w:t>
      </w:r>
    </w:p>
    <w:p>
      <w:pPr>
        <w:spacing w:after="80"/>
        <w:ind w:left="432" w:hanging="432"/>
      </w:pPr>
      <w:r>
        <w:rPr>
          <w:rFonts w:ascii="Calibri" w:hAnsi="Calibri"/>
          <w:sz w:val="20"/>
        </w:rPr>
        <w:t>Amazon Web Services (2026c) Amazon ECS launch types and capacity providers. Available at: https://docs.aws.amazon.com/AmazonECS/latest/developerguide/capacity-launch-type-comparison.html (Accessed: 17 August 2026).</w:t>
      </w:r>
    </w:p>
    <w:p>
      <w:pPr>
        <w:spacing w:after="80"/>
        <w:ind w:left="432" w:hanging="432"/>
      </w:pPr>
      <w:r>
        <w:rPr>
          <w:rFonts w:ascii="Calibri" w:hAnsi="Calibri"/>
          <w:sz w:val="20"/>
        </w:rPr>
        <w:t>Amazon Web Services (2026d) Enable point-in-time recovery in DynamoDB. Available at: https://docs.aws.amazon.com/amazondynamodb/latest/developerguide/PointInTimeRecovery_Howitworks.html (Accessed: 17 August 2026).</w:t>
      </w:r>
    </w:p>
    <w:p>
      <w:pPr>
        <w:spacing w:after="80"/>
        <w:ind w:left="432" w:hanging="432"/>
      </w:pPr>
      <w:r>
        <w:rPr>
          <w:rFonts w:ascii="Calibri" w:hAnsi="Calibri"/>
          <w:sz w:val="20"/>
        </w:rPr>
        <w:t>Amazon Web Services (2026e) Managing complex workflows with DynamoDB transactions. Available at: https://docs.aws.amazon.com/amazondynamodb/latest/developerguide/transactions.html (Accessed: 17 August 2026).</w:t>
      </w:r>
    </w:p>
    <w:p>
      <w:pPr>
        <w:spacing w:after="80"/>
        <w:ind w:left="432" w:hanging="432"/>
      </w:pPr>
      <w:r>
        <w:rPr>
          <w:rFonts w:ascii="Calibri" w:hAnsi="Calibri"/>
          <w:sz w:val="20"/>
        </w:rPr>
        <w:t>Amazon Web Services (2026f) Amazon EventBridge: integrating microservices by using AWS serverless services. Available at: https://docs.aws.amazon.com/prescriptive-guidance/latest/modernization-integrating-microservices/eventbridge.html (Accessed: 17 August 2026).</w:t>
      </w:r>
    </w:p>
    <w:p>
      <w:pPr>
        <w:spacing w:after="80"/>
        <w:ind w:left="432" w:hanging="432"/>
      </w:pPr>
      <w:r>
        <w:rPr>
          <w:rFonts w:ascii="Calibri" w:hAnsi="Calibri"/>
          <w:sz w:val="20"/>
        </w:rPr>
        <w:t>Amazon Web Services (2026g) Using dead-letter queues in Amazon SQS. Available at: https://docs.aws.amazon.com/AWSSimpleQueueService/latest/SQSDeveloperGuide/sqs-dead-letter-queues.html (Accessed: 17 August 2026).</w:t>
      </w:r>
    </w:p>
    <w:p>
      <w:pPr>
        <w:spacing w:after="80"/>
        <w:ind w:left="432" w:hanging="432"/>
      </w:pPr>
      <w:r>
        <w:rPr>
          <w:rFonts w:ascii="Calibri" w:hAnsi="Calibri"/>
          <w:sz w:val="20"/>
        </w:rPr>
        <w:t>Amazon Web Services (2026h) Control access to HTTP APIs with JWT authorizers in API Gateway. Available at: https://docs.aws.amazon.com/apigateway/latest/developerguide/http-api-jwt-authorizer.html (Accessed: 17 August 2026).</w:t>
      </w:r>
    </w:p>
    <w:p>
      <w:pPr>
        <w:spacing w:after="80"/>
        <w:ind w:left="432" w:hanging="432"/>
      </w:pPr>
      <w:r>
        <w:rPr>
          <w:rFonts w:ascii="Calibri" w:hAnsi="Calibri"/>
          <w:sz w:val="20"/>
        </w:rPr>
        <w:t>Amazon Web Services (2026i) Use defined recovery strategies to meet the recovery objectives. Available at: https://docs.aws.amazon.com/wellarchitected/latest/framework/rel_planning_for_recovery_disaster_recovery.html (Accessed: 17 August 2026).</w:t>
      </w:r>
    </w:p>
    <w:p>
      <w:pPr>
        <w:spacing w:after="80"/>
        <w:ind w:left="432" w:hanging="432"/>
      </w:pPr>
      <w:r>
        <w:rPr>
          <w:rFonts w:ascii="Calibri" w:hAnsi="Calibri"/>
          <w:sz w:val="20"/>
        </w:rPr>
        <w:t>Garcia-Molina, H. and Salem, K. (1987) 'Sagas', SIGMOD Record, 16(3), pp. 249-259. Available at: https://doi.org/10.1145/38713.38742.</w:t>
      </w:r>
    </w:p>
    <w:p>
      <w:pPr>
        <w:spacing w:after="80"/>
        <w:ind w:left="432" w:hanging="432"/>
      </w:pPr>
      <w:r>
        <w:rPr>
          <w:rFonts w:ascii="Calibri" w:hAnsi="Calibri"/>
          <w:sz w:val="20"/>
        </w:rPr>
        <w:t>National Institute of Standards and Technology (NIST) (2020) Security strategies for microservices-based application systems (SP 800-204). Available at: https://doi.org/10.6028/NIST.SP.800-204.</w:t>
      </w:r>
    </w:p>
    <w:p>
      <w:pPr>
        <w:spacing w:after="80"/>
        <w:ind w:left="432" w:hanging="432"/>
      </w:pPr>
      <w:r>
        <w:rPr>
          <w:rFonts w:ascii="Calibri" w:hAnsi="Calibri"/>
          <w:sz w:val="20"/>
        </w:rPr>
        <w:t>SmartRetailX (2026a) COMP60010: Enterprise Cloud and Distributed Web Applications - Assignment Specification. Internal course document.</w:t>
      </w:r>
    </w:p>
    <w:p>
      <w:pPr>
        <w:spacing w:after="80"/>
        <w:ind w:left="432" w:hanging="432"/>
      </w:pPr>
      <w:r>
        <w:rPr>
          <w:rFonts w:ascii="Calibri" w:hAnsi="Calibri"/>
          <w:sz w:val="20"/>
        </w:rPr>
        <w:t>SmartRetailX (2026b) Implementation Record. Internal project document, 17 August.</w:t>
      </w:r>
    </w:p>
    <w:p>
      <w:pPr>
        <w:spacing w:after="80"/>
        <w:ind w:left="432" w:hanging="432"/>
      </w:pPr>
      <w:r>
        <w:rPr>
          <w:rFonts w:ascii="Calibri" w:hAnsi="Calibri"/>
          <w:sz w:val="20"/>
        </w:rPr>
        <w:t>SmartRetailX (2026c) Checkpoint Status. Internal project document, 17 August.</w:t>
      </w:r>
    </w:p>
    <w:p>
      <w:pPr>
        <w:spacing w:after="80"/>
        <w:ind w:left="432" w:hanging="432"/>
      </w:pPr>
      <w:r>
        <w:rPr>
          <w:rFonts w:ascii="Calibri" w:hAnsi="Calibri"/>
          <w:sz w:val="20"/>
        </w:rPr>
        <w:t>Taibi, D., Lenarduzzi, V. and Pahl, C. (2019) 'Architecting with microservices: A systematic mapping study', Journal of Systems and Software, 150, pp. 77-97. Available at: https://doi.org/10.1016/j.jss.2019.01.001.</w:t>
      </w:r>
    </w:p>
    <w:p>
      <w:pPr>
        <w:pStyle w:val="Heading1"/>
      </w:pPr>
      <w:r>
        <w:t>Appendix A: Screenshot checklist</w:t>
      </w:r>
    </w:p>
    <w:p>
      <w:r>
        <w:rPr>
          <w:rFonts w:ascii="Calibri" w:hAnsi="Calibri"/>
          <w:sz w:val="22"/>
        </w:rPr>
        <w:t>Replace each placeholder in the report with a clearly named image from the evidence folder. Every AWS console screenshot should show the correct region where relevant. Recommended evidence includes API Gateway routes, Lambda configuration, Cognito sign-in, WAF rules, DynamoDB terminal order states, EventBridge/SQS/DLQ configuration, test output, k6 output and the monitoring dashboard. The evidence log contains a more detailed capture list (SmartRetailX, 2026c).</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FF2CC"/>
          </w:tcPr>
          <w:p>
            <w:pPr>
              <w:spacing w:before="80" w:after="80"/>
            </w:pPr>
            <w:r>
              <w:rPr>
                <w:rFonts w:ascii="Calibri" w:hAnsi="Calibri"/>
                <w:b/>
                <w:color w:val="7A5A00"/>
                <w:sz w:val="21"/>
              </w:rPr>
              <w:t>FINAL CHECK: verify all completed/deferred labels, replace every screenshot placeholder, update the word count, check Harvard reference formatting against the university guide, and export the approved version to PDF.</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8"/>
      </w:rPr>
      <w:t>SmartRetailX Technical Report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