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6AECA" w14:textId="484A37A9"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w:t>
      </w:r>
      <w:r w:rsidR="00B54A20">
        <w:rPr>
          <w:rFonts w:ascii="Times New Roman" w:hAnsi="Times New Roman" w:cs="Times New Roman"/>
          <w:b/>
          <w:bCs/>
          <w:sz w:val="28"/>
          <w:szCs w:val="28"/>
        </w:rPr>
        <w:t>s</w:t>
      </w:r>
      <w:r w:rsidRPr="00032F89">
        <w:rPr>
          <w:rFonts w:ascii="Times New Roman" w:hAnsi="Times New Roman" w:cs="Times New Roman"/>
          <w:b/>
          <w:bCs/>
          <w:sz w:val="28"/>
          <w:szCs w:val="28"/>
        </w:rPr>
        <w:t xml:space="preserve"> with Machine Learning</w:t>
      </w:r>
    </w:p>
    <w:p w14:paraId="12E8F019" w14:textId="77777777" w:rsidR="000F3FDE" w:rsidRDefault="00000000">
      <w:pPr>
        <w:spacing w:before="240" w:line="240" w:lineRule="auto"/>
        <w:jc w:val="center"/>
        <w:rPr>
          <w:rFonts w:ascii="Times New Roman" w:eastAsia="Times New Roman" w:hAnsi="Times New Roman" w:cs="Times New Roman"/>
          <w:sz w:val="24"/>
          <w:szCs w:val="24"/>
        </w:rPr>
      </w:pPr>
      <w:r>
        <w:rPr>
          <w:rFonts w:ascii="Arial" w:eastAsia="Arial" w:hAnsi="Arial" w:cs="Arial"/>
          <w:noProof/>
          <w:color w:val="000000"/>
        </w:rPr>
        <w:drawing>
          <wp:inline distT="0" distB="0" distL="0" distR="0" wp14:anchorId="4D44C9EA" wp14:editId="63030773">
            <wp:extent cx="2468456" cy="1140284"/>
            <wp:effectExtent l="0" t="0" r="0" b="0"/>
            <wp:docPr id="3" name="image1.png" descr="https://lh7-qw.googleusercontent.com/docsz/AD_4nXfeWyeYmlnhfMX2MpY8288mbn2lO4Jptz5Ev26cFeUSjsbw7Lye_zR3lFK2amfBbQz9TPstSPFfkARwZudCzrWEW0u0-H094OrfGKWA3ipyZWU4HuvoDNCSPSFjIJw-yh6J33ptV6RpbyJi5QTKiJCOXnTr?key=Q7iAS2jfC_-27U8wAr_7DQ"/>
            <wp:cNvGraphicFramePr/>
            <a:graphic xmlns:a="http://schemas.openxmlformats.org/drawingml/2006/main">
              <a:graphicData uri="http://schemas.openxmlformats.org/drawingml/2006/picture">
                <pic:pic xmlns:pic="http://schemas.openxmlformats.org/drawingml/2006/picture">
                  <pic:nvPicPr>
                    <pic:cNvPr id="0" name="image1.png" descr="https://lh7-qw.googleusercontent.com/docsz/AD_4nXfeWyeYmlnhfMX2MpY8288mbn2lO4Jptz5Ev26cFeUSjsbw7Lye_zR3lFK2amfBbQz9TPstSPFfkARwZudCzrWEW0u0-H094OrfGKWA3ipyZWU4HuvoDNCSPSFjIJw-yh6J33ptV6RpbyJi5QTKiJCOXnTr?key=Q7iAS2jfC_-27U8wAr_7DQ"/>
                    <pic:cNvPicPr preferRelativeResize="0"/>
                  </pic:nvPicPr>
                  <pic:blipFill>
                    <a:blip r:embed="rId7"/>
                    <a:srcRect/>
                    <a:stretch>
                      <a:fillRect/>
                    </a:stretch>
                  </pic:blipFill>
                  <pic:spPr>
                    <a:xfrm>
                      <a:off x="0" y="0"/>
                      <a:ext cx="2468456" cy="1140284"/>
                    </a:xfrm>
                    <a:prstGeom prst="rect">
                      <a:avLst/>
                    </a:prstGeom>
                    <a:ln/>
                  </pic:spPr>
                </pic:pic>
              </a:graphicData>
            </a:graphic>
          </wp:inline>
        </w:drawing>
      </w:r>
    </w:p>
    <w:p w14:paraId="0D4FBCF0" w14:textId="77777777" w:rsidR="000F3FDE" w:rsidRDefault="00000000">
      <w:pPr>
        <w:spacing w:before="240" w:line="240" w:lineRule="auto"/>
        <w:jc w:val="center"/>
        <w:rPr>
          <w:sz w:val="24"/>
          <w:szCs w:val="24"/>
        </w:rPr>
      </w:pPr>
      <w:r>
        <w:rPr>
          <w:b/>
          <w:color w:val="000000"/>
          <w:sz w:val="32"/>
          <w:szCs w:val="32"/>
        </w:rPr>
        <w:t>Department of Chemistry</w:t>
      </w:r>
    </w:p>
    <w:p w14:paraId="470FEC19" w14:textId="77777777" w:rsidR="000F3FDE" w:rsidRDefault="000F3FDE">
      <w:pPr>
        <w:spacing w:after="0" w:line="240" w:lineRule="auto"/>
        <w:rPr>
          <w:sz w:val="24"/>
          <w:szCs w:val="24"/>
        </w:rPr>
      </w:pPr>
    </w:p>
    <w:p w14:paraId="48E15BAA" w14:textId="77777777" w:rsidR="000F3FDE" w:rsidRDefault="00000000">
      <w:pPr>
        <w:spacing w:before="240" w:line="240" w:lineRule="auto"/>
        <w:jc w:val="center"/>
        <w:rPr>
          <w:sz w:val="24"/>
          <w:szCs w:val="24"/>
        </w:rPr>
      </w:pPr>
      <w:r>
        <w:rPr>
          <w:b/>
          <w:color w:val="000000"/>
          <w:sz w:val="32"/>
          <w:szCs w:val="32"/>
        </w:rPr>
        <w:t xml:space="preserve">MSc Data Science Project </w:t>
      </w:r>
      <w:r>
        <w:rPr>
          <w:b/>
          <w:sz w:val="32"/>
          <w:szCs w:val="32"/>
        </w:rPr>
        <w:t>report</w:t>
      </w:r>
    </w:p>
    <w:p w14:paraId="088667C5" w14:textId="77777777" w:rsidR="000F3FDE" w:rsidRDefault="000F3FDE">
      <w:pPr>
        <w:spacing w:before="240" w:line="240" w:lineRule="auto"/>
        <w:jc w:val="center"/>
        <w:rPr>
          <w:sz w:val="32"/>
          <w:szCs w:val="32"/>
        </w:rPr>
      </w:pPr>
    </w:p>
    <w:p w14:paraId="2747B055" w14:textId="77777777" w:rsidR="000F3FDE" w:rsidRDefault="000F3FDE">
      <w:pPr>
        <w:spacing w:after="0" w:line="240" w:lineRule="auto"/>
        <w:rPr>
          <w:sz w:val="24"/>
          <w:szCs w:val="24"/>
        </w:rPr>
      </w:pPr>
    </w:p>
    <w:p w14:paraId="51814E94" w14:textId="77777777" w:rsidR="000F3FDE" w:rsidRDefault="000F3FDE">
      <w:pPr>
        <w:spacing w:after="0" w:line="240" w:lineRule="auto"/>
        <w:rPr>
          <w:sz w:val="24"/>
          <w:szCs w:val="24"/>
        </w:rPr>
      </w:pPr>
    </w:p>
    <w:p w14:paraId="011DE2DB" w14:textId="1D0B75B4"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 with Machine Learning</w:t>
      </w:r>
    </w:p>
    <w:p w14:paraId="0323C3D9" w14:textId="5BAF429F" w:rsidR="000F3FDE" w:rsidRDefault="00A012F3" w:rsidP="00A012F3">
      <w:pPr>
        <w:spacing w:before="240" w:line="240" w:lineRule="auto"/>
        <w:jc w:val="center"/>
        <w:rPr>
          <w:color w:val="000000"/>
        </w:rPr>
      </w:pPr>
      <w:r>
        <w:rPr>
          <w:color w:val="000000"/>
        </w:rPr>
        <w:t xml:space="preserve"> </w:t>
      </w:r>
    </w:p>
    <w:p w14:paraId="080F09E5" w14:textId="77777777" w:rsidR="00A012F3" w:rsidRDefault="00A012F3" w:rsidP="00A012F3">
      <w:pPr>
        <w:spacing w:before="240" w:line="240" w:lineRule="auto"/>
        <w:jc w:val="center"/>
        <w:rPr>
          <w:color w:val="000000"/>
        </w:rPr>
      </w:pPr>
    </w:p>
    <w:p w14:paraId="1C9BDBE5" w14:textId="77777777" w:rsidR="00A012F3" w:rsidRDefault="00A012F3" w:rsidP="00A012F3">
      <w:pPr>
        <w:spacing w:before="240" w:line="240" w:lineRule="auto"/>
        <w:jc w:val="center"/>
        <w:rPr>
          <w:sz w:val="24"/>
          <w:szCs w:val="24"/>
        </w:rPr>
      </w:pPr>
    </w:p>
    <w:p w14:paraId="0E1D16A7" w14:textId="77777777" w:rsidR="000F3FDE" w:rsidRDefault="00000000">
      <w:pPr>
        <w:spacing w:before="240" w:line="240" w:lineRule="auto"/>
        <w:jc w:val="center"/>
        <w:rPr>
          <w:sz w:val="24"/>
          <w:szCs w:val="24"/>
        </w:rPr>
      </w:pPr>
      <w:r>
        <w:rPr>
          <w:color w:val="000000"/>
        </w:rPr>
        <w:t>prepared by</w:t>
      </w:r>
    </w:p>
    <w:p w14:paraId="0CFACEB4" w14:textId="77777777" w:rsidR="000F3FDE" w:rsidRDefault="000F3FDE">
      <w:pPr>
        <w:spacing w:after="0" w:line="240" w:lineRule="auto"/>
        <w:rPr>
          <w:sz w:val="24"/>
          <w:szCs w:val="24"/>
        </w:rPr>
      </w:pPr>
    </w:p>
    <w:p w14:paraId="0CD88531" w14:textId="3F0DBC96" w:rsidR="000F3FDE" w:rsidRPr="00A012F3" w:rsidRDefault="00A012F3">
      <w:pPr>
        <w:spacing w:before="240" w:line="240" w:lineRule="auto"/>
        <w:jc w:val="center"/>
        <w:rPr>
          <w:sz w:val="28"/>
          <w:szCs w:val="28"/>
        </w:rPr>
      </w:pPr>
      <w:r w:rsidRPr="00A012F3">
        <w:rPr>
          <w:color w:val="000000"/>
          <w:sz w:val="24"/>
          <w:szCs w:val="24"/>
        </w:rPr>
        <w:t xml:space="preserve">  JASHWANTHIKAA DURAIKANNU RAJENDIRAN</w:t>
      </w:r>
    </w:p>
    <w:p w14:paraId="697A6C4F" w14:textId="1F2FA22B" w:rsidR="000F3FDE" w:rsidRDefault="00A012F3">
      <w:pPr>
        <w:spacing w:after="0" w:line="240" w:lineRule="auto"/>
        <w:rPr>
          <w:sz w:val="24"/>
          <w:szCs w:val="24"/>
        </w:rPr>
      </w:pPr>
      <w:r>
        <w:rPr>
          <w:noProof/>
          <w:color w:val="000000"/>
        </w:rPr>
        <mc:AlternateContent>
          <mc:Choice Requires="wps">
            <w:drawing>
              <wp:anchor distT="0" distB="0" distL="114300" distR="114300" simplePos="0" relativeHeight="251659264" behindDoc="0" locked="0" layoutInCell="1" allowOverlap="1" wp14:anchorId="234A4D52" wp14:editId="7B657383">
                <wp:simplePos x="0" y="0"/>
                <wp:positionH relativeFrom="column">
                  <wp:posOffset>1371600</wp:posOffset>
                </wp:positionH>
                <wp:positionV relativeFrom="paragraph">
                  <wp:posOffset>182880</wp:posOffset>
                </wp:positionV>
                <wp:extent cx="1760220" cy="259080"/>
                <wp:effectExtent l="0" t="0" r="0" b="7620"/>
                <wp:wrapNone/>
                <wp:docPr id="1604128515" name="Text Box 1"/>
                <wp:cNvGraphicFramePr/>
                <a:graphic xmlns:a="http://schemas.openxmlformats.org/drawingml/2006/main">
                  <a:graphicData uri="http://schemas.microsoft.com/office/word/2010/wordprocessingShape">
                    <wps:wsp>
                      <wps:cNvSpPr txBox="1"/>
                      <wps:spPr>
                        <a:xfrm>
                          <a:off x="0" y="0"/>
                          <a:ext cx="1760220" cy="259080"/>
                        </a:xfrm>
                        <a:prstGeom prst="rect">
                          <a:avLst/>
                        </a:prstGeom>
                        <a:solidFill>
                          <a:schemeClr val="lt1"/>
                        </a:solidFill>
                        <a:ln w="6350">
                          <a:noFill/>
                        </a:ln>
                      </wps:spPr>
                      <wps:txbx>
                        <w:txbxContent>
                          <w:p w14:paraId="6D91D635" w14:textId="61345D1A" w:rsidR="00A012F3" w:rsidRDefault="00A012F3">
                            <w:r w:rsidRPr="00A012F3">
                              <w:t>Prof</w:t>
                            </w:r>
                            <w:r>
                              <w:t>.</w:t>
                            </w:r>
                            <w:r w:rsidRPr="00A012F3">
                              <w:t xml:space="preserve"> Jacqui Hamilton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A4D52" id="_x0000_t202" coordsize="21600,21600" o:spt="202" path="m,l,21600r21600,l21600,xe">
                <v:stroke joinstyle="miter"/>
                <v:path gradientshapeok="t" o:connecttype="rect"/>
              </v:shapetype>
              <v:shape id="Text Box 1" o:spid="_x0000_s1026" type="#_x0000_t202" style="position:absolute;margin-left:108pt;margin-top:14.4pt;width:138.6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" fillcolor="white [3201]" stroked="f" strokeweight=".5pt">
                <v:textbox>
                  <w:txbxContent>
                    <w:p w14:paraId="6D91D635" w14:textId="61345D1A" w:rsidR="00A012F3" w:rsidRDefault="00A012F3">
                      <w:r w:rsidRPr="00A012F3">
                        <w:t>Prof</w:t>
                      </w:r>
                      <w:r>
                        <w:t>.</w:t>
                      </w:r>
                      <w:r w:rsidRPr="00A012F3">
                        <w:t xml:space="preserve"> Jacqui Hamilton</w:t>
                      </w:r>
                    </w:p>
                  </w:txbxContent>
                </v:textbox>
              </v:shape>
            </w:pict>
          </mc:Fallback>
        </mc:AlternateContent>
      </w:r>
    </w:p>
    <w:p w14:paraId="189A05CB" w14:textId="727EBC47" w:rsidR="000F3FDE" w:rsidRDefault="00A012F3">
      <w:pPr>
        <w:spacing w:before="240" w:line="240" w:lineRule="auto"/>
        <w:rPr>
          <w:sz w:val="24"/>
          <w:szCs w:val="24"/>
        </w:rPr>
      </w:pPr>
      <w:r>
        <w:rPr>
          <w:noProof/>
          <w:color w:val="000000"/>
        </w:rPr>
        <mc:AlternateContent>
          <mc:Choice Requires="wps">
            <w:drawing>
              <wp:anchor distT="0" distB="0" distL="114300" distR="114300" simplePos="0" relativeHeight="251660288" behindDoc="0" locked="0" layoutInCell="1" allowOverlap="1" wp14:anchorId="0309F000" wp14:editId="61436DCB">
                <wp:simplePos x="0" y="0"/>
                <wp:positionH relativeFrom="column">
                  <wp:posOffset>899160</wp:posOffset>
                </wp:positionH>
                <wp:positionV relativeFrom="paragraph">
                  <wp:posOffset>316865</wp:posOffset>
                </wp:positionV>
                <wp:extent cx="1546860" cy="251460"/>
                <wp:effectExtent l="0" t="0" r="0" b="0"/>
                <wp:wrapNone/>
                <wp:docPr id="527164668" name="Text Box 2"/>
                <wp:cNvGraphicFramePr/>
                <a:graphic xmlns:a="http://schemas.openxmlformats.org/drawingml/2006/main">
                  <a:graphicData uri="http://schemas.microsoft.com/office/word/2010/wordprocessingShape">
                    <wps:wsp>
                      <wps:cNvSpPr txBox="1"/>
                      <wps:spPr>
                        <a:xfrm>
                          <a:off x="0" y="0"/>
                          <a:ext cx="1546860" cy="251460"/>
                        </a:xfrm>
                        <a:prstGeom prst="rect">
                          <a:avLst/>
                        </a:prstGeom>
                        <a:solidFill>
                          <a:schemeClr val="lt1"/>
                        </a:solidFill>
                        <a:ln w="6350">
                          <a:noFill/>
                        </a:ln>
                      </wps:spPr>
                      <wps:txbx>
                        <w:txbxContent>
                          <w:p w14:paraId="5A51A479" w14:textId="3CEB5196" w:rsidR="00A012F3" w:rsidRPr="00A012F3" w:rsidRDefault="00A012F3">
                            <w:pPr>
                              <w:rPr>
                                <w:lang w:val="en-IN"/>
                              </w:rPr>
                            </w:pPr>
                            <w:r>
                              <w:rPr>
                                <w:lang w:val="en-IN"/>
                              </w:rPr>
                              <w:t>28/08/2025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F000" id="Text Box 2" o:spid="_x0000_s1027" type="#_x0000_t202" style="position:absolute;margin-left:70.8pt;margin-top:24.95pt;width:121.8pt;height:1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" fillcolor="white [3201]" stroked="f" strokeweight=".5pt">
                <v:textbox>
                  <w:txbxContent>
                    <w:p w14:paraId="5A51A479" w14:textId="3CEB5196" w:rsidR="00A012F3" w:rsidRPr="00A012F3" w:rsidRDefault="00A012F3">
                      <w:pPr>
                        <w:rPr>
                          <w:lang w:val="en-IN"/>
                        </w:rPr>
                      </w:pPr>
                      <w:r>
                        <w:rPr>
                          <w:lang w:val="en-IN"/>
                        </w:rPr>
                        <w:t>28/08/2025</w:t>
                      </w:r>
                    </w:p>
                  </w:txbxContent>
                </v:textbox>
              </v:shape>
            </w:pict>
          </mc:Fallback>
        </mc:AlternateContent>
      </w:r>
      <w:r>
        <w:rPr>
          <w:color w:val="000000"/>
        </w:rPr>
        <w:t>Project Supervisor</w:t>
      </w:r>
      <w:r>
        <w:rPr>
          <w:color w:val="000000"/>
        </w:rPr>
        <w:tab/>
        <w:t>……………………………………….</w:t>
      </w:r>
    </w:p>
    <w:p w14:paraId="67DCF038" w14:textId="6CE12219" w:rsidR="000F3FDE" w:rsidRDefault="00981C91">
      <w:pPr>
        <w:spacing w:before="240" w:line="240" w:lineRule="auto"/>
        <w:rPr>
          <w:sz w:val="24"/>
          <w:szCs w:val="24"/>
        </w:rPr>
      </w:pPr>
      <w:r>
        <w:rPr>
          <w:noProof/>
          <w:color w:val="000000"/>
        </w:rPr>
        <mc:AlternateContent>
          <mc:Choice Requires="wps">
            <w:drawing>
              <wp:anchor distT="0" distB="0" distL="114300" distR="114300" simplePos="0" relativeHeight="251665408" behindDoc="0" locked="0" layoutInCell="1" allowOverlap="1" wp14:anchorId="13E60701" wp14:editId="7AA21EEC">
                <wp:simplePos x="0" y="0"/>
                <wp:positionH relativeFrom="column">
                  <wp:posOffset>982980</wp:posOffset>
                </wp:positionH>
                <wp:positionV relativeFrom="paragraph">
                  <wp:posOffset>227330</wp:posOffset>
                </wp:positionV>
                <wp:extent cx="601980" cy="251460"/>
                <wp:effectExtent l="0" t="0" r="0" b="0"/>
                <wp:wrapNone/>
                <wp:docPr id="1804652041" name="Text Box 5"/>
                <wp:cNvGraphicFramePr/>
                <a:graphic xmlns:a="http://schemas.openxmlformats.org/drawingml/2006/main">
                  <a:graphicData uri="http://schemas.microsoft.com/office/word/2010/wordprocessingShape">
                    <wps:wsp>
                      <wps:cNvSpPr txBox="1"/>
                      <wps:spPr>
                        <a:xfrm>
                          <a:off x="0" y="0"/>
                          <a:ext cx="601980" cy="251460"/>
                        </a:xfrm>
                        <a:prstGeom prst="rect">
                          <a:avLst/>
                        </a:prstGeom>
                        <a:noFill/>
                        <a:ln w="6350">
                          <a:noFill/>
                        </a:ln>
                      </wps:spPr>
                      <wps:txbx>
                        <w:txbxContent>
                          <w:p w14:paraId="0A21BA98" w14:textId="2BFBA727" w:rsidR="00981C91" w:rsidRPr="00C633BD" w:rsidRDefault="00C633BD">
                            <w:pPr>
                              <w:rPr>
                                <w:lang w:val="en-IN"/>
                              </w:rPr>
                            </w:pPr>
                            <w:r>
                              <w:rPr>
                                <w:lang w:val="en-IN"/>
                              </w:rPr>
                              <w:t>611</w:t>
                            </w:r>
                            <w:r w:rsidR="00077FD0">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0701" id="Text Box 5" o:spid="_x0000_s1028" type="#_x0000_t202" style="position:absolute;margin-left:77.4pt;margin-top:17.9pt;width:47.4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" filled="f" stroked="f" strokeweight=".5pt">
                <v:textbox>
                  <w:txbxContent>
                    <w:p w14:paraId="0A21BA98" w14:textId="2BFBA727" w:rsidR="00981C91" w:rsidRPr="00C633BD" w:rsidRDefault="00C633BD">
                      <w:pPr>
                        <w:rPr>
                          <w:lang w:val="en-IN"/>
                        </w:rPr>
                      </w:pPr>
                      <w:r>
                        <w:rPr>
                          <w:lang w:val="en-IN"/>
                        </w:rPr>
                        <w:t>611</w:t>
                      </w:r>
                      <w:r w:rsidR="00077FD0">
                        <w:rPr>
                          <w:lang w:val="en-IN"/>
                        </w:rPr>
                        <w:t>2</w:t>
                      </w:r>
                    </w:p>
                  </w:txbxContent>
                </v:textbox>
              </v:shape>
            </w:pict>
          </mc:Fallback>
        </mc:AlternateContent>
      </w:r>
      <w:r>
        <w:rPr>
          <w:color w:val="000000"/>
        </w:rPr>
        <w:t>Date</w:t>
      </w:r>
      <w:r>
        <w:rPr>
          <w:color w:val="000000"/>
        </w:rPr>
        <w:tab/>
        <w:t>…………………………………………………………</w:t>
      </w:r>
    </w:p>
    <w:p w14:paraId="21F88C62" w14:textId="77777777" w:rsidR="000F3FDE" w:rsidRDefault="00000000">
      <w:pPr>
        <w:spacing w:before="240" w:line="240" w:lineRule="auto"/>
        <w:rPr>
          <w:color w:val="000000"/>
        </w:rPr>
      </w:pPr>
      <w:r>
        <w:rPr>
          <w:color w:val="000000"/>
        </w:rPr>
        <w:t>No. of Words</w:t>
      </w:r>
      <w:r>
        <w:rPr>
          <w:color w:val="000000"/>
        </w:rPr>
        <w:tab/>
        <w:t>……………………………………………….</w:t>
      </w:r>
    </w:p>
    <w:p w14:paraId="572E3EA0" w14:textId="77777777" w:rsidR="000F3FDE" w:rsidRDefault="00000000">
      <w:pPr>
        <w:spacing w:before="240" w:line="240" w:lineRule="auto"/>
        <w:rPr>
          <w:rFonts w:ascii="Arial" w:eastAsia="Arial" w:hAnsi="Arial" w:cs="Arial"/>
          <w:color w:val="000000"/>
        </w:rPr>
      </w:pPr>
      <w:r>
        <w:rPr>
          <w:color w:val="000000"/>
        </w:rPr>
        <w:t>202</w:t>
      </w:r>
      <w:r>
        <w:t>4</w:t>
      </w:r>
      <w:r>
        <w:rPr>
          <w:color w:val="000000"/>
        </w:rPr>
        <w:t>/2</w:t>
      </w:r>
      <w:r>
        <w:t>5</w:t>
      </w:r>
      <w:r>
        <w:rPr>
          <w:color w:val="000000"/>
        </w:rPr>
        <w:t xml:space="preserve"> Entry Cohort</w:t>
      </w:r>
    </w:p>
    <w:p w14:paraId="242574B7" w14:textId="77777777" w:rsidR="000F3FDE" w:rsidRDefault="000F3FDE">
      <w:pPr>
        <w:spacing w:before="240" w:line="240" w:lineRule="auto"/>
        <w:rPr>
          <w:rFonts w:ascii="Arial" w:eastAsia="Arial" w:hAnsi="Arial" w:cs="Arial"/>
          <w:color w:val="000000"/>
        </w:rPr>
      </w:pPr>
    </w:p>
    <w:p w14:paraId="4BFB5C3C" w14:textId="77777777" w:rsidR="000F3FDE" w:rsidRDefault="000F3FDE">
      <w:pPr>
        <w:spacing w:before="240" w:line="240" w:lineRule="auto"/>
        <w:rPr>
          <w:rFonts w:ascii="Arial" w:eastAsia="Arial" w:hAnsi="Arial" w:cs="Arial"/>
          <w:color w:val="000000"/>
        </w:rPr>
      </w:pPr>
    </w:p>
    <w:p w14:paraId="050E35C7" w14:textId="77777777" w:rsidR="000F3FDE" w:rsidRDefault="000F3FDE">
      <w:pPr>
        <w:spacing w:before="240" w:line="240" w:lineRule="auto"/>
        <w:rPr>
          <w:rFonts w:ascii="Times New Roman" w:eastAsia="Times New Roman" w:hAnsi="Times New Roman" w:cs="Times New Roman"/>
          <w:sz w:val="24"/>
          <w:szCs w:val="24"/>
        </w:rPr>
      </w:pPr>
    </w:p>
    <w:p w14:paraId="0D31CDD1" w14:textId="77777777" w:rsidR="000F3FDE" w:rsidRDefault="00000000">
      <w:pPr>
        <w:spacing w:before="240" w:after="240" w:line="240" w:lineRule="auto"/>
        <w:jc w:val="center"/>
        <w:rPr>
          <w:rFonts w:ascii="Times New Roman" w:eastAsia="Times New Roman" w:hAnsi="Times New Roman" w:cs="Times New Roman"/>
          <w:sz w:val="24"/>
          <w:szCs w:val="24"/>
        </w:rPr>
      </w:pPr>
      <w:bookmarkStart w:id="0" w:name="_heading=h.hs01bx1kjceb" w:colFirst="0" w:colLast="0"/>
      <w:bookmarkEnd w:id="0"/>
      <w:r>
        <w:rPr>
          <w:rFonts w:ascii="Arial" w:eastAsia="Arial" w:hAnsi="Arial" w:cs="Arial"/>
          <w:b/>
          <w:color w:val="000000"/>
          <w:sz w:val="32"/>
          <w:szCs w:val="32"/>
        </w:rPr>
        <w:lastRenderedPageBreak/>
        <w:t>Department of Chemistry: MSc Projects</w:t>
      </w:r>
    </w:p>
    <w:p w14:paraId="4AB17915" w14:textId="77777777" w:rsidR="000F3FDE" w:rsidRDefault="00000000">
      <w:pPr>
        <w:spacing w:after="0" w:line="240" w:lineRule="auto"/>
        <w:jc w:val="center"/>
        <w:rPr>
          <w:sz w:val="24"/>
          <w:szCs w:val="24"/>
        </w:rPr>
      </w:pPr>
      <w:r>
        <w:rPr>
          <w:sz w:val="24"/>
          <w:szCs w:val="24"/>
        </w:rPr>
        <w:t>Declaration of Help Received</w:t>
      </w:r>
    </w:p>
    <w:p w14:paraId="157EF046" w14:textId="36F174B0" w:rsidR="000F3FDE" w:rsidRDefault="00A012F3">
      <w:pPr>
        <w:spacing w:after="0" w:line="240" w:lineRule="auto"/>
        <w:rPr>
          <w:sz w:val="24"/>
          <w:szCs w:val="24"/>
        </w:rPr>
      </w:pPr>
      <w:r>
        <w:rPr>
          <w:noProof/>
          <w:sz w:val="24"/>
          <w:szCs w:val="24"/>
        </w:rPr>
        <mc:AlternateContent>
          <mc:Choice Requires="wps">
            <w:drawing>
              <wp:anchor distT="0" distB="0" distL="114300" distR="114300" simplePos="0" relativeHeight="251661312" behindDoc="0" locked="0" layoutInCell="1" allowOverlap="1" wp14:anchorId="68165276" wp14:editId="708A7A80">
                <wp:simplePos x="0" y="0"/>
                <wp:positionH relativeFrom="column">
                  <wp:posOffset>1341120</wp:posOffset>
                </wp:positionH>
                <wp:positionV relativeFrom="paragraph">
                  <wp:posOffset>22225</wp:posOffset>
                </wp:positionV>
                <wp:extent cx="2834640" cy="274320"/>
                <wp:effectExtent l="0" t="0" r="3810" b="0"/>
                <wp:wrapNone/>
                <wp:docPr id="811234964" name="Text Box 3"/>
                <wp:cNvGraphicFramePr/>
                <a:graphic xmlns:a="http://schemas.openxmlformats.org/drawingml/2006/main">
                  <a:graphicData uri="http://schemas.microsoft.com/office/word/2010/wordprocessingShape">
                    <wps:wsp>
                      <wps:cNvSpPr txBox="1"/>
                      <wps:spPr>
                        <a:xfrm>
                          <a:off x="0" y="0"/>
                          <a:ext cx="2834640" cy="274320"/>
                        </a:xfrm>
                        <a:prstGeom prst="rect">
                          <a:avLst/>
                        </a:prstGeom>
                        <a:solidFill>
                          <a:schemeClr val="lt1"/>
                        </a:solidFill>
                        <a:ln w="6350">
                          <a:noFill/>
                        </a:ln>
                      </wps:spPr>
                      <wps:txbx>
                        <w:txbxContent>
                          <w:p w14:paraId="04E239E0" w14:textId="67FF1ACE" w:rsidR="00A012F3" w:rsidRPr="00A012F3" w:rsidRDefault="00A012F3">
                            <w:pPr>
                              <w:rPr>
                                <w:lang w:val="en-IN"/>
                              </w:rPr>
                            </w:pPr>
                            <w:r>
                              <w:rPr>
                                <w:lang w:val="en-IN"/>
                              </w:rPr>
                              <w:t>JASHWANTHIKAA DURAIKANNU RAJENDIRAN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165276" id="Text Box 3" o:spid="_x0000_s1029" type="#_x0000_t202" style="position:absolute;margin-left:105.6pt;margin-top:1.75pt;width:223.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" fillcolor="white [3201]" stroked="f" strokeweight=".5pt">
                <v:textbox>
                  <w:txbxContent>
                    <w:p w14:paraId="04E239E0" w14:textId="67FF1ACE" w:rsidR="00A012F3" w:rsidRPr="00A012F3" w:rsidRDefault="00A012F3">
                      <w:pPr>
                        <w:rPr>
                          <w:lang w:val="en-IN"/>
                        </w:rPr>
                      </w:pPr>
                      <w:r>
                        <w:rPr>
                          <w:lang w:val="en-IN"/>
                        </w:rPr>
                        <w:t>JASHWANTHIKAA DURAIKANNU RAJENDIRAN</w:t>
                      </w:r>
                    </w:p>
                  </w:txbxContent>
                </v:textbox>
              </v:shape>
            </w:pict>
          </mc:Fallback>
        </mc:AlternateContent>
      </w:r>
    </w:p>
    <w:p w14:paraId="41D47882" w14:textId="77777777" w:rsidR="000F3FDE" w:rsidRDefault="00000000">
      <w:pPr>
        <w:spacing w:after="0" w:line="240" w:lineRule="auto"/>
        <w:rPr>
          <w:sz w:val="24"/>
          <w:szCs w:val="24"/>
        </w:rPr>
      </w:pPr>
      <w:r>
        <w:rPr>
          <w:sz w:val="24"/>
          <w:szCs w:val="24"/>
        </w:rPr>
        <w:t>Name of Student……………………………………………………………………………….</w:t>
      </w:r>
    </w:p>
    <w:p w14:paraId="0F1FED38" w14:textId="60733FDB" w:rsidR="000F3FDE" w:rsidRDefault="00A012F3">
      <w:pPr>
        <w:spacing w:after="0" w:line="240" w:lineRule="auto"/>
        <w:rPr>
          <w:sz w:val="20"/>
          <w:szCs w:val="20"/>
        </w:rPr>
      </w:pPr>
      <w:r>
        <w:rPr>
          <w:noProof/>
          <w:sz w:val="20"/>
          <w:szCs w:val="20"/>
        </w:rPr>
        <mc:AlternateContent>
          <mc:Choice Requires="wps">
            <w:drawing>
              <wp:anchor distT="0" distB="0" distL="114300" distR="114300" simplePos="0" relativeHeight="251662336" behindDoc="0" locked="0" layoutInCell="1" allowOverlap="1" wp14:anchorId="4065990A" wp14:editId="00DE9092">
                <wp:simplePos x="0" y="0"/>
                <wp:positionH relativeFrom="column">
                  <wp:posOffset>1554480</wp:posOffset>
                </wp:positionH>
                <wp:positionV relativeFrom="paragraph">
                  <wp:posOffset>15875</wp:posOffset>
                </wp:positionV>
                <wp:extent cx="2438400" cy="243840"/>
                <wp:effectExtent l="0" t="0" r="0" b="3810"/>
                <wp:wrapNone/>
                <wp:docPr id="177377161" name="Text Box 4"/>
                <wp:cNvGraphicFramePr/>
                <a:graphic xmlns:a="http://schemas.openxmlformats.org/drawingml/2006/main">
                  <a:graphicData uri="http://schemas.microsoft.com/office/word/2010/wordprocessingShape">
                    <wps:wsp>
                      <wps:cNvSpPr txBox="1"/>
                      <wps:spPr>
                        <a:xfrm>
                          <a:off x="0" y="0"/>
                          <a:ext cx="2438400" cy="243840"/>
                        </a:xfrm>
                        <a:prstGeom prst="rect">
                          <a:avLst/>
                        </a:prstGeom>
                        <a:solidFill>
                          <a:schemeClr val="lt1"/>
                        </a:solidFill>
                        <a:ln w="6350">
                          <a:noFill/>
                        </a:ln>
                      </wps:spPr>
                      <wps:txb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5990A" id="Text Box 4" o:spid="_x0000_s1030" type="#_x0000_t202" style="position:absolute;margin-left:122.4pt;margin-top:1.25pt;width:192pt;height:1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" fillcolor="white [3201]" stroked="f" strokeweight=".5pt">
                <v:textbo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v:textbox>
              </v:shape>
            </w:pict>
          </mc:Fallback>
        </mc:AlternateContent>
      </w:r>
    </w:p>
    <w:p w14:paraId="56DC3697" w14:textId="77777777" w:rsidR="000F3FDE" w:rsidRDefault="00000000">
      <w:pPr>
        <w:spacing w:after="0" w:line="240" w:lineRule="auto"/>
        <w:rPr>
          <w:sz w:val="24"/>
          <w:szCs w:val="24"/>
        </w:rPr>
      </w:pPr>
      <w:r>
        <w:rPr>
          <w:sz w:val="24"/>
          <w:szCs w:val="24"/>
        </w:rPr>
        <w:t>Project Supervisor(s)…………………………………………………………………………</w:t>
      </w:r>
    </w:p>
    <w:p w14:paraId="59271000" w14:textId="77777777" w:rsidR="000F3FDE" w:rsidRDefault="000F3FDE">
      <w:pPr>
        <w:spacing w:after="0" w:line="240" w:lineRule="auto"/>
        <w:rPr>
          <w:sz w:val="16"/>
          <w:szCs w:val="16"/>
        </w:rPr>
      </w:pPr>
    </w:p>
    <w:p w14:paraId="4A9DC556" w14:textId="77777777" w:rsidR="000F3FDE" w:rsidRDefault="00000000">
      <w:pPr>
        <w:spacing w:after="0" w:line="240" w:lineRule="auto"/>
        <w:rPr>
          <w:sz w:val="16"/>
          <w:szCs w:val="16"/>
        </w:rPr>
      </w:pPr>
      <w:r>
        <w:t xml:space="preserve">This form should be completed by each student and submitted as part of the report.  The information provided allows proper acknowledgement of the help you have received and will help the markers in evaluating your performance.  </w:t>
      </w:r>
      <w:r>
        <w:br/>
      </w:r>
    </w:p>
    <w:p w14:paraId="21A85F51" w14:textId="77777777" w:rsidR="000F3FDE" w:rsidRDefault="00000000">
      <w:pPr>
        <w:numPr>
          <w:ilvl w:val="0"/>
          <w:numId w:val="2"/>
        </w:numPr>
        <w:spacing w:after="0" w:line="240" w:lineRule="auto"/>
        <w:rPr>
          <w:sz w:val="24"/>
          <w:szCs w:val="24"/>
        </w:rPr>
      </w:pPr>
      <w:r>
        <w:rPr>
          <w:sz w:val="24"/>
          <w:szCs w:val="24"/>
        </w:rPr>
        <w:t>Did anyone other than the project supervisor(s) assist you in carrying out your project?</w:t>
      </w:r>
      <w:r>
        <w:rPr>
          <w:sz w:val="16"/>
          <w:szCs w:val="16"/>
        </w:rPr>
        <w:t xml:space="preserve"> </w:t>
      </w:r>
      <w:r>
        <w:rPr>
          <w:sz w:val="24"/>
          <w:szCs w:val="24"/>
        </w:rPr>
        <w:t>Tick the appropriate box:</w:t>
      </w:r>
    </w:p>
    <w:p w14:paraId="535D6F8E" w14:textId="0FFFAB36" w:rsidR="000F3FDE" w:rsidRPr="00CF7261" w:rsidRDefault="00A012F3" w:rsidP="00CF7261">
      <w:pPr>
        <w:pStyle w:val="ListParagraph"/>
        <w:numPr>
          <w:ilvl w:val="0"/>
          <w:numId w:val="6"/>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428D7F37" w14:textId="4067400D" w:rsidR="000F3FDE" w:rsidRDefault="000F3FDE">
      <w:pPr>
        <w:spacing w:after="0" w:line="240" w:lineRule="auto"/>
        <w:rPr>
          <w:sz w:val="16"/>
          <w:szCs w:val="16"/>
        </w:rPr>
      </w:pPr>
    </w:p>
    <w:p w14:paraId="495638A5" w14:textId="77777777" w:rsidR="000F3FDE" w:rsidRDefault="00000000">
      <w:pPr>
        <w:spacing w:after="0" w:line="240" w:lineRule="auto"/>
        <w:ind w:left="720"/>
        <w:rPr>
          <w:sz w:val="24"/>
          <w:szCs w:val="24"/>
        </w:rPr>
      </w:pPr>
      <w:r>
        <w:rPr>
          <w:sz w:val="24"/>
          <w:szCs w:val="24"/>
        </w:rPr>
        <w:t>If yes, detail the help received (Suggested categories are given below the table):</w:t>
      </w:r>
    </w:p>
    <w:p w14:paraId="0BC7FFB7" w14:textId="77777777" w:rsidR="000F3FDE" w:rsidRDefault="000F3FDE">
      <w:pPr>
        <w:spacing w:after="0" w:line="240" w:lineRule="auto"/>
        <w:rPr>
          <w:sz w:val="16"/>
          <w:szCs w:val="16"/>
        </w:rPr>
      </w:pPr>
    </w:p>
    <w:tbl>
      <w:tblPr>
        <w:tblStyle w:val="a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1940"/>
        <w:gridCol w:w="4870"/>
      </w:tblGrid>
      <w:tr w:rsidR="000F3FDE" w14:paraId="2E890D22" w14:textId="77777777">
        <w:tc>
          <w:tcPr>
            <w:tcW w:w="2206" w:type="dxa"/>
          </w:tcPr>
          <w:p w14:paraId="12A9C6EE" w14:textId="77777777" w:rsidR="000F3FDE" w:rsidRDefault="00000000">
            <w:pPr>
              <w:spacing w:after="0" w:line="240" w:lineRule="auto"/>
              <w:rPr>
                <w:sz w:val="24"/>
                <w:szCs w:val="24"/>
              </w:rPr>
            </w:pPr>
            <w:r>
              <w:rPr>
                <w:sz w:val="24"/>
                <w:szCs w:val="24"/>
              </w:rPr>
              <w:t>Name of Helper</w:t>
            </w:r>
          </w:p>
        </w:tc>
        <w:tc>
          <w:tcPr>
            <w:tcW w:w="1940" w:type="dxa"/>
          </w:tcPr>
          <w:p w14:paraId="16415BD3" w14:textId="77777777" w:rsidR="000F3FDE" w:rsidRDefault="00000000">
            <w:pPr>
              <w:spacing w:after="0" w:line="240" w:lineRule="auto"/>
              <w:rPr>
                <w:sz w:val="24"/>
                <w:szCs w:val="24"/>
              </w:rPr>
            </w:pPr>
            <w:r>
              <w:rPr>
                <w:sz w:val="24"/>
                <w:szCs w:val="24"/>
              </w:rPr>
              <w:t>Category (</w:t>
            </w:r>
            <w:proofErr w:type="spellStart"/>
            <w:r>
              <w:rPr>
                <w:sz w:val="24"/>
                <w:szCs w:val="24"/>
              </w:rPr>
              <w:t>i</w:t>
            </w:r>
            <w:proofErr w:type="spellEnd"/>
            <w:r>
              <w:rPr>
                <w:sz w:val="24"/>
                <w:szCs w:val="24"/>
              </w:rPr>
              <w:t xml:space="preserve"> to v)</w:t>
            </w:r>
          </w:p>
        </w:tc>
        <w:tc>
          <w:tcPr>
            <w:tcW w:w="4870" w:type="dxa"/>
          </w:tcPr>
          <w:p w14:paraId="646C6C71" w14:textId="77777777" w:rsidR="000F3FDE" w:rsidRDefault="00000000">
            <w:pPr>
              <w:spacing w:after="0" w:line="240" w:lineRule="auto"/>
              <w:rPr>
                <w:sz w:val="24"/>
                <w:szCs w:val="24"/>
              </w:rPr>
            </w:pPr>
            <w:r>
              <w:rPr>
                <w:sz w:val="24"/>
                <w:szCs w:val="24"/>
              </w:rPr>
              <w:t>Details (if necessary)</w:t>
            </w:r>
          </w:p>
        </w:tc>
      </w:tr>
      <w:tr w:rsidR="000F3FDE" w14:paraId="64B5ABDD" w14:textId="77777777">
        <w:tc>
          <w:tcPr>
            <w:tcW w:w="2206" w:type="dxa"/>
          </w:tcPr>
          <w:p w14:paraId="5AC9A246" w14:textId="77777777" w:rsidR="000F3FDE" w:rsidRDefault="000F3FDE">
            <w:pPr>
              <w:spacing w:after="0" w:line="240" w:lineRule="auto"/>
              <w:rPr>
                <w:sz w:val="18"/>
                <w:szCs w:val="18"/>
              </w:rPr>
            </w:pPr>
          </w:p>
          <w:p w14:paraId="046337DE" w14:textId="602F1004" w:rsidR="000F3FDE" w:rsidRDefault="007D7454">
            <w:pPr>
              <w:spacing w:after="0" w:line="240" w:lineRule="auto"/>
              <w:rPr>
                <w:sz w:val="18"/>
                <w:szCs w:val="18"/>
              </w:rPr>
            </w:pPr>
            <w:r w:rsidRPr="007D7454">
              <w:t>Thomas Cornell</w:t>
            </w:r>
          </w:p>
        </w:tc>
        <w:tc>
          <w:tcPr>
            <w:tcW w:w="1940" w:type="dxa"/>
          </w:tcPr>
          <w:p w14:paraId="6D62EA5B" w14:textId="43CDF38D" w:rsidR="000F3FDE" w:rsidRDefault="00BE705F">
            <w:pPr>
              <w:spacing w:after="0" w:line="240" w:lineRule="auto"/>
              <w:rPr>
                <w:sz w:val="18"/>
                <w:szCs w:val="18"/>
              </w:rPr>
            </w:pPr>
            <w:r>
              <w:rPr>
                <w:sz w:val="18"/>
                <w:szCs w:val="18"/>
              </w:rPr>
              <w:t>(</w:t>
            </w:r>
            <w:proofErr w:type="spellStart"/>
            <w:r w:rsidR="00B9269F">
              <w:rPr>
                <w:sz w:val="18"/>
                <w:szCs w:val="18"/>
              </w:rPr>
              <w:t>i</w:t>
            </w:r>
            <w:proofErr w:type="spellEnd"/>
            <w:r w:rsidR="00B9269F">
              <w:rPr>
                <w:sz w:val="18"/>
                <w:szCs w:val="18"/>
              </w:rPr>
              <w:t>)</w:t>
            </w:r>
          </w:p>
        </w:tc>
        <w:tc>
          <w:tcPr>
            <w:tcW w:w="4870" w:type="dxa"/>
          </w:tcPr>
          <w:p w14:paraId="06C5936F" w14:textId="77777777" w:rsidR="000F3FDE" w:rsidRDefault="000F3FDE">
            <w:pPr>
              <w:spacing w:after="0" w:line="240" w:lineRule="auto"/>
              <w:rPr>
                <w:sz w:val="18"/>
                <w:szCs w:val="18"/>
              </w:rPr>
            </w:pPr>
          </w:p>
        </w:tc>
      </w:tr>
      <w:tr w:rsidR="000F3FDE" w14:paraId="065139F0" w14:textId="77777777">
        <w:tc>
          <w:tcPr>
            <w:tcW w:w="2206" w:type="dxa"/>
          </w:tcPr>
          <w:p w14:paraId="288F3360" w14:textId="77777777" w:rsidR="000F3FDE" w:rsidRDefault="000F3FDE">
            <w:pPr>
              <w:spacing w:after="0" w:line="240" w:lineRule="auto"/>
              <w:rPr>
                <w:sz w:val="18"/>
                <w:szCs w:val="18"/>
              </w:rPr>
            </w:pPr>
          </w:p>
          <w:p w14:paraId="18B2A78B" w14:textId="77777777" w:rsidR="000F3FDE" w:rsidRDefault="000F3FDE">
            <w:pPr>
              <w:spacing w:after="0" w:line="240" w:lineRule="auto"/>
              <w:rPr>
                <w:sz w:val="18"/>
                <w:szCs w:val="18"/>
              </w:rPr>
            </w:pPr>
          </w:p>
        </w:tc>
        <w:tc>
          <w:tcPr>
            <w:tcW w:w="1940" w:type="dxa"/>
          </w:tcPr>
          <w:p w14:paraId="18D245C8" w14:textId="77777777" w:rsidR="000F3FDE" w:rsidRDefault="000F3FDE">
            <w:pPr>
              <w:spacing w:after="0" w:line="240" w:lineRule="auto"/>
              <w:rPr>
                <w:sz w:val="18"/>
                <w:szCs w:val="18"/>
              </w:rPr>
            </w:pPr>
          </w:p>
        </w:tc>
        <w:tc>
          <w:tcPr>
            <w:tcW w:w="4870" w:type="dxa"/>
          </w:tcPr>
          <w:p w14:paraId="55CBCBAB" w14:textId="77777777" w:rsidR="000F3FDE" w:rsidRDefault="000F3FDE">
            <w:pPr>
              <w:spacing w:after="0" w:line="240" w:lineRule="auto"/>
              <w:rPr>
                <w:sz w:val="18"/>
                <w:szCs w:val="18"/>
              </w:rPr>
            </w:pPr>
          </w:p>
        </w:tc>
      </w:tr>
      <w:tr w:rsidR="000F3FDE" w14:paraId="13549251" w14:textId="77777777">
        <w:tc>
          <w:tcPr>
            <w:tcW w:w="2206" w:type="dxa"/>
          </w:tcPr>
          <w:p w14:paraId="7528655B" w14:textId="77777777" w:rsidR="000F3FDE" w:rsidRDefault="000F3FDE">
            <w:pPr>
              <w:spacing w:after="0" w:line="240" w:lineRule="auto"/>
              <w:rPr>
                <w:sz w:val="18"/>
                <w:szCs w:val="18"/>
              </w:rPr>
            </w:pPr>
          </w:p>
          <w:p w14:paraId="29C5449A" w14:textId="77777777" w:rsidR="000F3FDE" w:rsidRDefault="000F3FDE">
            <w:pPr>
              <w:spacing w:after="0" w:line="240" w:lineRule="auto"/>
              <w:rPr>
                <w:sz w:val="18"/>
                <w:szCs w:val="18"/>
              </w:rPr>
            </w:pPr>
          </w:p>
        </w:tc>
        <w:tc>
          <w:tcPr>
            <w:tcW w:w="1940" w:type="dxa"/>
          </w:tcPr>
          <w:p w14:paraId="0FE59B32" w14:textId="77777777" w:rsidR="000F3FDE" w:rsidRDefault="000F3FDE">
            <w:pPr>
              <w:spacing w:after="0" w:line="240" w:lineRule="auto"/>
              <w:rPr>
                <w:sz w:val="18"/>
                <w:szCs w:val="18"/>
              </w:rPr>
            </w:pPr>
          </w:p>
        </w:tc>
        <w:tc>
          <w:tcPr>
            <w:tcW w:w="4870" w:type="dxa"/>
          </w:tcPr>
          <w:p w14:paraId="767F7912" w14:textId="77777777" w:rsidR="000F3FDE" w:rsidRDefault="000F3FDE">
            <w:pPr>
              <w:spacing w:after="0" w:line="240" w:lineRule="auto"/>
              <w:rPr>
                <w:sz w:val="18"/>
                <w:szCs w:val="18"/>
              </w:rPr>
            </w:pPr>
          </w:p>
        </w:tc>
      </w:tr>
    </w:tbl>
    <w:p w14:paraId="2E7DDAC2" w14:textId="77777777" w:rsidR="000F3FDE" w:rsidRDefault="000F3FDE">
      <w:pPr>
        <w:spacing w:after="0" w:line="240" w:lineRule="auto"/>
        <w:rPr>
          <w:sz w:val="16"/>
          <w:szCs w:val="16"/>
        </w:rPr>
      </w:pPr>
    </w:p>
    <w:p w14:paraId="2D3E1A32" w14:textId="77777777" w:rsidR="000F3FDE" w:rsidRDefault="00000000">
      <w:pPr>
        <w:numPr>
          <w:ilvl w:val="0"/>
          <w:numId w:val="3"/>
        </w:numPr>
        <w:spacing w:after="0" w:line="240" w:lineRule="auto"/>
      </w:pPr>
      <w:r>
        <w:t>Day to day help</w:t>
      </w:r>
    </w:p>
    <w:p w14:paraId="427FC236" w14:textId="77777777" w:rsidR="000F3FDE" w:rsidRDefault="00000000">
      <w:pPr>
        <w:numPr>
          <w:ilvl w:val="0"/>
          <w:numId w:val="3"/>
        </w:numPr>
        <w:spacing w:after="0" w:line="240" w:lineRule="auto"/>
      </w:pPr>
      <w:r>
        <w:t>Initial training in a technique or operation</w:t>
      </w:r>
    </w:p>
    <w:p w14:paraId="3A4A677C" w14:textId="77777777" w:rsidR="000F3FDE" w:rsidRDefault="00000000">
      <w:pPr>
        <w:numPr>
          <w:ilvl w:val="0"/>
          <w:numId w:val="3"/>
        </w:numPr>
        <w:spacing w:after="0" w:line="240" w:lineRule="auto"/>
      </w:pPr>
      <w:r>
        <w:t>Specific assistance (e.g. operation of instrumentation)</w:t>
      </w:r>
    </w:p>
    <w:p w14:paraId="5370E007" w14:textId="77777777" w:rsidR="000F3FDE" w:rsidRDefault="00000000">
      <w:pPr>
        <w:numPr>
          <w:ilvl w:val="0"/>
          <w:numId w:val="3"/>
        </w:numPr>
        <w:spacing w:after="0" w:line="240" w:lineRule="auto"/>
      </w:pPr>
      <w:r>
        <w:t>Help with interpretation of results</w:t>
      </w:r>
    </w:p>
    <w:p w14:paraId="2C4F6089" w14:textId="77777777" w:rsidR="000F3FDE" w:rsidRDefault="00000000">
      <w:pPr>
        <w:numPr>
          <w:ilvl w:val="0"/>
          <w:numId w:val="3"/>
        </w:numPr>
        <w:spacing w:after="0" w:line="240" w:lineRule="auto"/>
      </w:pPr>
      <w:r>
        <w:t>Any other category of help</w:t>
      </w:r>
    </w:p>
    <w:p w14:paraId="7C372223" w14:textId="77777777" w:rsidR="000F3FDE" w:rsidRDefault="000F3FDE">
      <w:pPr>
        <w:spacing w:after="0" w:line="240" w:lineRule="auto"/>
        <w:rPr>
          <w:sz w:val="16"/>
          <w:szCs w:val="16"/>
        </w:rPr>
      </w:pPr>
    </w:p>
    <w:p w14:paraId="6A2585A9" w14:textId="77777777" w:rsidR="000F3FDE" w:rsidRDefault="00000000">
      <w:pPr>
        <w:numPr>
          <w:ilvl w:val="0"/>
          <w:numId w:val="2"/>
        </w:numPr>
        <w:spacing w:after="0" w:line="240" w:lineRule="auto"/>
        <w:ind w:left="360"/>
        <w:rPr>
          <w:sz w:val="24"/>
          <w:szCs w:val="24"/>
        </w:rPr>
      </w:pPr>
      <w:r>
        <w:rPr>
          <w:sz w:val="24"/>
          <w:szCs w:val="24"/>
        </w:rPr>
        <w:t>Did your project supervisor(s) provide you with material assistance towards completing your project (e.g. code which produced or analysed results, graphs which you have included in your report)? Tick the appropriate box:</w:t>
      </w:r>
    </w:p>
    <w:p w14:paraId="3C85826E" w14:textId="791BF7AC" w:rsidR="000F3FDE" w:rsidRPr="00CF7261" w:rsidRDefault="00A27646" w:rsidP="00CF7261">
      <w:pPr>
        <w:pStyle w:val="ListParagraph"/>
        <w:numPr>
          <w:ilvl w:val="0"/>
          <w:numId w:val="5"/>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68E98E39" w14:textId="77777777" w:rsidR="000F3FDE" w:rsidRDefault="000F3FDE">
      <w:pPr>
        <w:spacing w:after="0" w:line="240" w:lineRule="auto"/>
        <w:ind w:left="720"/>
        <w:rPr>
          <w:sz w:val="16"/>
          <w:szCs w:val="16"/>
        </w:rPr>
      </w:pPr>
    </w:p>
    <w:p w14:paraId="63021FDC" w14:textId="77777777" w:rsidR="000F3FDE" w:rsidRDefault="00000000">
      <w:pPr>
        <w:spacing w:after="0" w:line="240" w:lineRule="auto"/>
        <w:ind w:left="720"/>
        <w:rPr>
          <w:sz w:val="24"/>
          <w:szCs w:val="24"/>
        </w:rPr>
      </w:pPr>
      <w:r>
        <w:rPr>
          <w:sz w:val="24"/>
          <w:szCs w:val="24"/>
        </w:rPr>
        <w:t>If yes, please provide details of the help received:</w:t>
      </w:r>
    </w:p>
    <w:tbl>
      <w:tblPr>
        <w:tblStyle w:val="a6"/>
        <w:tblW w:w="89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0F3FDE" w14:paraId="4CCC8550" w14:textId="77777777">
        <w:tc>
          <w:tcPr>
            <w:tcW w:w="8970" w:type="dxa"/>
            <w:tcMar>
              <w:top w:w="100" w:type="dxa"/>
              <w:left w:w="100" w:type="dxa"/>
              <w:bottom w:w="100" w:type="dxa"/>
              <w:right w:w="100" w:type="dxa"/>
            </w:tcMar>
          </w:tcPr>
          <w:p w14:paraId="37C99E59" w14:textId="6DCFA0E9" w:rsidR="000F3FDE" w:rsidRDefault="00FE3FA0">
            <w:pPr>
              <w:widowControl w:val="0"/>
              <w:pBdr>
                <w:top w:val="nil"/>
                <w:left w:val="nil"/>
                <w:bottom w:val="nil"/>
                <w:right w:val="nil"/>
                <w:between w:val="nil"/>
              </w:pBdr>
              <w:spacing w:after="0" w:line="240" w:lineRule="auto"/>
              <w:rPr>
                <w:sz w:val="24"/>
                <w:szCs w:val="24"/>
              </w:rPr>
            </w:pPr>
            <w:r w:rsidRPr="008A6639">
              <w:t xml:space="preserve">My </w:t>
            </w:r>
            <w:r w:rsidR="008A6639" w:rsidRPr="008A6639">
              <w:t>supervisor</w:t>
            </w:r>
            <w:r w:rsidRPr="008A6639">
              <w:t xml:space="preserve"> helped me provide code for </w:t>
            </w:r>
            <w:r w:rsidR="00F241D8" w:rsidRPr="008A6639">
              <w:t>SMILES Fingerprint Calculation, assisted with SIRIUS prediction setup, and supported access to the real laboratory sample used for validation.</w:t>
            </w:r>
          </w:p>
        </w:tc>
      </w:tr>
    </w:tbl>
    <w:p w14:paraId="5D2324C1" w14:textId="77777777" w:rsidR="000F3FDE" w:rsidRDefault="00000000">
      <w:pPr>
        <w:numPr>
          <w:ilvl w:val="0"/>
          <w:numId w:val="2"/>
        </w:numPr>
        <w:spacing w:after="0" w:line="240" w:lineRule="auto"/>
        <w:ind w:left="360"/>
        <w:rPr>
          <w:sz w:val="24"/>
          <w:szCs w:val="24"/>
        </w:rPr>
      </w:pPr>
      <w:r>
        <w:rPr>
          <w:sz w:val="24"/>
          <w:szCs w:val="24"/>
        </w:rPr>
        <w:t>I have read the Assessment Information in the MSc Handbook on academic misconduct and plagiarism. I have completed the Academic Integrity Tutorial.</w:t>
      </w:r>
    </w:p>
    <w:p w14:paraId="2845E006" w14:textId="77777777" w:rsidR="000F3FDE" w:rsidRDefault="00000000">
      <w:pPr>
        <w:spacing w:after="0" w:line="240" w:lineRule="auto"/>
        <w:ind w:left="360"/>
        <w:rPr>
          <w:sz w:val="24"/>
          <w:szCs w:val="24"/>
        </w:rPr>
      </w:pPr>
      <w:r>
        <w:rPr>
          <w:sz w:val="24"/>
          <w:szCs w:val="24"/>
        </w:rPr>
        <w:t xml:space="preserve">I declare that this assessment is a presentation of original work, I am the sole author and I am not attempting to pass off work created by generative AI content tools as my own. </w:t>
      </w:r>
    </w:p>
    <w:p w14:paraId="1BB00CD7" w14:textId="77777777" w:rsidR="000F3FDE" w:rsidRDefault="000F3FDE">
      <w:pPr>
        <w:spacing w:after="0" w:line="240" w:lineRule="auto"/>
        <w:ind w:left="360"/>
        <w:rPr>
          <w:sz w:val="24"/>
          <w:szCs w:val="24"/>
        </w:rPr>
      </w:pPr>
    </w:p>
    <w:p w14:paraId="4BE95298" w14:textId="77777777" w:rsidR="000F3FDE" w:rsidRDefault="00000000">
      <w:pPr>
        <w:spacing w:after="0" w:line="240" w:lineRule="auto"/>
        <w:rPr>
          <w:sz w:val="24"/>
          <w:szCs w:val="24"/>
        </w:rPr>
      </w:pPr>
      <w:r>
        <w:rPr>
          <w:sz w:val="24"/>
          <w:szCs w:val="24"/>
        </w:rPr>
        <w:t>Name of student (in lieu of signature)</w:t>
      </w:r>
    </w:p>
    <w:p w14:paraId="51127DCA" w14:textId="77777777" w:rsidR="000F3FDE" w:rsidRDefault="00000000">
      <w:pPr>
        <w:spacing w:after="0" w:line="240" w:lineRule="auto"/>
        <w:rPr>
          <w:sz w:val="24"/>
          <w:szCs w:val="24"/>
        </w:rPr>
      </w:pPr>
      <w:r>
        <w:rPr>
          <w:sz w:val="24"/>
          <w:szCs w:val="24"/>
        </w:rPr>
        <w:tab/>
      </w:r>
      <w:r>
        <w:rPr>
          <w:sz w:val="24"/>
          <w:szCs w:val="24"/>
        </w:rPr>
        <w:tab/>
      </w:r>
    </w:p>
    <w:p w14:paraId="4D708FCA" w14:textId="3C43A734" w:rsidR="000F3FDE" w:rsidRPr="0096186D" w:rsidRDefault="0096186D">
      <w:pPr>
        <w:spacing w:after="0" w:line="240" w:lineRule="auto"/>
        <w:ind w:firstLine="360"/>
      </w:pPr>
      <w:r w:rsidRPr="0096186D">
        <w:t xml:space="preserve">Jashwanthikaa </w:t>
      </w:r>
      <w:proofErr w:type="spellStart"/>
      <w:r w:rsidRPr="0096186D">
        <w:t>Duraikannu</w:t>
      </w:r>
      <w:proofErr w:type="spellEnd"/>
      <w:r w:rsidRPr="0096186D">
        <w:t xml:space="preserve"> Rajendiran</w:t>
      </w:r>
    </w:p>
    <w:p w14:paraId="7D8DB6A2" w14:textId="5305962E" w:rsidR="009876D4" w:rsidRPr="009876D4" w:rsidRDefault="00000000" w:rsidP="009876D4">
      <w:pPr>
        <w:spacing w:after="0" w:line="240" w:lineRule="auto"/>
        <w:ind w:firstLine="360"/>
        <w:rPr>
          <w:sz w:val="24"/>
          <w:szCs w:val="24"/>
        </w:rPr>
      </w:pPr>
      <w:proofErr w:type="gramStart"/>
      <w:r>
        <w:rPr>
          <w:sz w:val="24"/>
          <w:szCs w:val="24"/>
        </w:rPr>
        <w:t>..</w:t>
      </w:r>
      <w:proofErr w:type="gramEnd"/>
      <w:r>
        <w:rPr>
          <w:sz w:val="24"/>
          <w:szCs w:val="24"/>
        </w:rPr>
        <w:t>……</w:t>
      </w:r>
      <w:r w:rsidR="00D35C91">
        <w:rPr>
          <w:sz w:val="24"/>
          <w:szCs w:val="24"/>
        </w:rPr>
        <w:t>28/08/2025</w:t>
      </w:r>
      <w:r>
        <w:rPr>
          <w:sz w:val="24"/>
          <w:szCs w:val="24"/>
        </w:rPr>
        <w:t>…………………………………………………………………………</w:t>
      </w:r>
      <w:r>
        <w:br w:type="page"/>
      </w:r>
      <w:bookmarkStart w:id="1" w:name="_heading=h.wyqnexjoavfr" w:colFirst="0" w:colLast="0"/>
      <w:bookmarkEnd w:id="1"/>
      <w:r w:rsidR="009876D4" w:rsidRPr="00F9346A">
        <w:rPr>
          <w:rFonts w:ascii="Times New Roman" w:hAnsi="Times New Roman" w:cs="Times New Roman"/>
          <w:sz w:val="52"/>
          <w:szCs w:val="52"/>
        </w:rPr>
        <w:lastRenderedPageBreak/>
        <w:t>Abstract</w:t>
      </w:r>
    </w:p>
    <w:p w14:paraId="50538E0D" w14:textId="77777777" w:rsidR="009876D4" w:rsidRPr="009876D4" w:rsidRDefault="009876D4" w:rsidP="009876D4">
      <w:pPr>
        <w:spacing w:after="0"/>
        <w:rPr>
          <w:rFonts w:ascii="Times New Roman" w:hAnsi="Times New Roman" w:cs="Times New Roman"/>
          <w:b/>
          <w:bCs/>
          <w:sz w:val="36"/>
          <w:szCs w:val="36"/>
        </w:rPr>
      </w:pPr>
    </w:p>
    <w:p w14:paraId="40A44DE7" w14:textId="1BF1F510"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Natural and Human-made aerosol are atmospheric particles that have the potential to carry carcinogenic chemicals that can harm public health. Conventional tests for toxicity tests, although well established, are time-consuming, expensive, and </w:t>
      </w:r>
      <w:r w:rsidR="00F63537" w:rsidRPr="00F63537">
        <w:rPr>
          <w:rFonts w:ascii="Times New Roman" w:hAnsi="Times New Roman" w:cs="Times New Roman"/>
          <w:sz w:val="24"/>
          <w:szCs w:val="24"/>
        </w:rPr>
        <w:t>limited by ethics (can’t test on people and must limit animal use),</w:t>
      </w:r>
      <w:r w:rsidRPr="000772AD">
        <w:rPr>
          <w:rFonts w:ascii="Times New Roman" w:hAnsi="Times New Roman" w:cs="Times New Roman"/>
          <w:sz w:val="24"/>
          <w:szCs w:val="24"/>
        </w:rPr>
        <w:t xml:space="preserve"> and thus unsuitable for large-scale environmental screening. This study solves two primary goals: building a model for predicting p53-mediated carcinogenicity of ambient chemicals and validating it against independent spectral measurements and real laboratory samples. To fulfil these aims, the study applies the </w:t>
      </w:r>
      <w:proofErr w:type="spellStart"/>
      <w:r w:rsidRPr="000772AD">
        <w:rPr>
          <w:rFonts w:ascii="Times New Roman" w:hAnsi="Times New Roman" w:cs="Times New Roman"/>
          <w:sz w:val="24"/>
          <w:szCs w:val="24"/>
        </w:rPr>
        <w:t>XGBoost</w:t>
      </w:r>
      <w:proofErr w:type="spellEnd"/>
      <w:r w:rsidRPr="000772AD">
        <w:rPr>
          <w:rFonts w:ascii="Times New Roman" w:hAnsi="Times New Roman" w:cs="Times New Roman"/>
          <w:sz w:val="24"/>
          <w:szCs w:val="24"/>
        </w:rPr>
        <w:t xml:space="preserve"> machine learning model that has been trained on dataset-repaired assay data of the U.S. EPA </w:t>
      </w:r>
      <w:proofErr w:type="spellStart"/>
      <w:r w:rsidRPr="000772AD">
        <w:rPr>
          <w:rFonts w:ascii="Times New Roman" w:hAnsi="Times New Roman" w:cs="Times New Roman"/>
          <w:sz w:val="24"/>
          <w:szCs w:val="24"/>
        </w:rPr>
        <w:t>CompTox</w:t>
      </w:r>
      <w:proofErr w:type="spellEnd"/>
      <w:r w:rsidRPr="000772AD">
        <w:rPr>
          <w:rFonts w:ascii="Times New Roman" w:hAnsi="Times New Roman" w:cs="Times New Roman"/>
          <w:sz w:val="24"/>
          <w:szCs w:val="24"/>
        </w:rPr>
        <w:t xml:space="preserve"> Chemicals Dashboard (ATG_p53_CIS) with cheminformatics-derived molecular fingerprints and monoisotopic mass as predictive variables.</w:t>
      </w:r>
    </w:p>
    <w:p w14:paraId="7A4D63DE" w14:textId="77777777" w:rsidR="009876D4" w:rsidRPr="000772AD" w:rsidRDefault="009876D4" w:rsidP="009876D4">
      <w:pPr>
        <w:spacing w:after="0"/>
        <w:jc w:val="both"/>
        <w:rPr>
          <w:rFonts w:ascii="Times New Roman" w:hAnsi="Times New Roman" w:cs="Times New Roman"/>
          <w:sz w:val="24"/>
          <w:szCs w:val="24"/>
        </w:rPr>
      </w:pPr>
    </w:p>
    <w:p w14:paraId="05FD2A65"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Data were extensively pre-processed for chemical quality and relevance before model training. Validation was initially performed with liquid chromatography–mass spectrometry (LC-MS) spectra from </w:t>
      </w:r>
      <w:proofErr w:type="spellStart"/>
      <w:r w:rsidRPr="000772AD">
        <w:rPr>
          <w:rFonts w:ascii="Times New Roman" w:hAnsi="Times New Roman" w:cs="Times New Roman"/>
          <w:sz w:val="24"/>
          <w:szCs w:val="24"/>
        </w:rPr>
        <w:t>MassBank</w:t>
      </w:r>
      <w:proofErr w:type="spellEnd"/>
      <w:r w:rsidRPr="000772AD">
        <w:rPr>
          <w:rFonts w:ascii="Times New Roman" w:hAnsi="Times New Roman" w:cs="Times New Roman"/>
          <w:sz w:val="24"/>
          <w:szCs w:val="24"/>
        </w:rPr>
        <w:t>, which were processed in SIRIUS software to produce structure-based predictions for direct comparison of model output. The model was then transferred to LC-MS data of laboratory-collected aerosol-related samples for real-world usability testing.</w:t>
      </w:r>
    </w:p>
    <w:p w14:paraId="5C502A26" w14:textId="77777777" w:rsidR="009876D4" w:rsidRPr="000772AD" w:rsidRDefault="009876D4" w:rsidP="009876D4">
      <w:pPr>
        <w:spacing w:after="0"/>
        <w:jc w:val="both"/>
        <w:rPr>
          <w:rFonts w:ascii="Times New Roman" w:hAnsi="Times New Roman" w:cs="Times New Roman"/>
          <w:sz w:val="24"/>
          <w:szCs w:val="24"/>
        </w:rPr>
      </w:pPr>
    </w:p>
    <w:p w14:paraId="0A6DDC42"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The results show that the combination of high-quality chemical datasets, interpretable machine learning, and staged validation provides an efficient, scalable, and ethical solution to carcinogenicity evaluation. The solution improves aerosol toxicity prediction, enhances the integration of computational tools in environmental health, and enables future regulatory and monitoring systems to ensure public health protection.</w:t>
      </w:r>
    </w:p>
    <w:p w14:paraId="5F692811" w14:textId="1FEF680B" w:rsidR="002A006C" w:rsidRDefault="002A006C"/>
    <w:p w14:paraId="2D280F19" w14:textId="50ACDEE8" w:rsidR="002A006C" w:rsidRPr="00253344" w:rsidRDefault="002A006C">
      <w:pPr>
        <w:rPr>
          <w:rFonts w:ascii="Times New Roman" w:hAnsi="Times New Roman" w:cs="Times New Roman"/>
          <w:sz w:val="24"/>
          <w:szCs w:val="24"/>
          <w:lang w:val="en-IN"/>
        </w:rPr>
      </w:pPr>
    </w:p>
    <w:p w14:paraId="3D48C07F" w14:textId="77777777" w:rsidR="008C267D" w:rsidRDefault="008C267D" w:rsidP="00253344">
      <w:pPr>
        <w:rPr>
          <w:rFonts w:ascii="Times New Roman" w:hAnsi="Times New Roman" w:cs="Times New Roman"/>
          <w:b/>
          <w:bCs/>
          <w:sz w:val="28"/>
          <w:szCs w:val="28"/>
          <w:lang w:val="en-IN"/>
        </w:rPr>
      </w:pPr>
      <w:bookmarkStart w:id="2" w:name="_heading=h.tf9gk6z4t93e" w:colFirst="0" w:colLast="0"/>
      <w:bookmarkEnd w:id="2"/>
    </w:p>
    <w:p w14:paraId="393A79CA" w14:textId="77777777" w:rsidR="006F37AF" w:rsidRDefault="006F37AF" w:rsidP="00253344">
      <w:pPr>
        <w:rPr>
          <w:rFonts w:ascii="Times New Roman" w:hAnsi="Times New Roman" w:cs="Times New Roman"/>
          <w:b/>
          <w:bCs/>
          <w:sz w:val="28"/>
          <w:szCs w:val="28"/>
          <w:lang w:val="en-IN"/>
        </w:rPr>
      </w:pPr>
    </w:p>
    <w:p w14:paraId="40B48A99" w14:textId="77777777" w:rsidR="006F37AF" w:rsidRDefault="006F37AF" w:rsidP="00253344">
      <w:pPr>
        <w:rPr>
          <w:rFonts w:ascii="Times New Roman" w:hAnsi="Times New Roman" w:cs="Times New Roman"/>
          <w:b/>
          <w:bCs/>
          <w:sz w:val="28"/>
          <w:szCs w:val="28"/>
          <w:lang w:val="en-IN"/>
        </w:rPr>
      </w:pPr>
    </w:p>
    <w:p w14:paraId="514368B2" w14:textId="77777777" w:rsidR="006F37AF" w:rsidRDefault="006F37AF" w:rsidP="00253344">
      <w:pPr>
        <w:rPr>
          <w:rFonts w:ascii="Times New Roman" w:hAnsi="Times New Roman" w:cs="Times New Roman"/>
          <w:b/>
          <w:bCs/>
          <w:sz w:val="28"/>
          <w:szCs w:val="28"/>
          <w:lang w:val="en-IN"/>
        </w:rPr>
      </w:pPr>
    </w:p>
    <w:p w14:paraId="7F6AE429" w14:textId="77777777" w:rsidR="006F37AF" w:rsidRDefault="006F37AF" w:rsidP="00253344">
      <w:pPr>
        <w:rPr>
          <w:rFonts w:ascii="Times New Roman" w:hAnsi="Times New Roman" w:cs="Times New Roman"/>
          <w:b/>
          <w:bCs/>
          <w:sz w:val="28"/>
          <w:szCs w:val="28"/>
          <w:lang w:val="en-IN"/>
        </w:rPr>
      </w:pPr>
    </w:p>
    <w:p w14:paraId="5BA4104E" w14:textId="77777777" w:rsidR="006F37AF" w:rsidRDefault="006F37AF" w:rsidP="00253344">
      <w:pPr>
        <w:rPr>
          <w:rFonts w:ascii="Times New Roman" w:hAnsi="Times New Roman" w:cs="Times New Roman"/>
          <w:b/>
          <w:bCs/>
          <w:sz w:val="28"/>
          <w:szCs w:val="28"/>
          <w:lang w:val="en-IN"/>
        </w:rPr>
      </w:pPr>
    </w:p>
    <w:p w14:paraId="1D78C6BC" w14:textId="77777777" w:rsidR="006F37AF" w:rsidRDefault="006F37AF" w:rsidP="00253344">
      <w:pPr>
        <w:rPr>
          <w:rFonts w:ascii="Times New Roman" w:hAnsi="Times New Roman" w:cs="Times New Roman"/>
          <w:b/>
          <w:bCs/>
          <w:sz w:val="28"/>
          <w:szCs w:val="28"/>
          <w:lang w:val="en-IN"/>
        </w:rPr>
      </w:pPr>
    </w:p>
    <w:p w14:paraId="13F94144" w14:textId="77777777" w:rsidR="006F37AF" w:rsidRDefault="006F37AF" w:rsidP="00253344">
      <w:pPr>
        <w:rPr>
          <w:rFonts w:ascii="Times New Roman" w:hAnsi="Times New Roman" w:cs="Times New Roman"/>
          <w:b/>
          <w:bCs/>
          <w:sz w:val="28"/>
          <w:szCs w:val="28"/>
          <w:lang w:val="en-IN"/>
        </w:rPr>
      </w:pPr>
    </w:p>
    <w:p w14:paraId="0C71A1ED" w14:textId="77777777" w:rsidR="006F37AF" w:rsidRDefault="006F37AF" w:rsidP="00253344">
      <w:pPr>
        <w:rPr>
          <w:rFonts w:ascii="Times New Roman" w:hAnsi="Times New Roman" w:cs="Times New Roman"/>
          <w:b/>
          <w:bCs/>
          <w:sz w:val="28"/>
          <w:szCs w:val="28"/>
          <w:lang w:val="en-IN"/>
        </w:rPr>
      </w:pPr>
    </w:p>
    <w:p w14:paraId="6EB0FCDF" w14:textId="77777777" w:rsidR="006F37AF" w:rsidRDefault="006F37AF" w:rsidP="00253344">
      <w:pPr>
        <w:rPr>
          <w:rFonts w:ascii="Times New Roman" w:hAnsi="Times New Roman" w:cs="Times New Roman"/>
          <w:b/>
          <w:bCs/>
          <w:sz w:val="28"/>
          <w:szCs w:val="28"/>
          <w:lang w:val="en-IN"/>
        </w:rPr>
      </w:pPr>
    </w:p>
    <w:p w14:paraId="717A7CE7" w14:textId="77777777" w:rsidR="006F37AF" w:rsidRDefault="006F37AF" w:rsidP="00253344">
      <w:pPr>
        <w:rPr>
          <w:rFonts w:ascii="Times New Roman" w:hAnsi="Times New Roman" w:cs="Times New Roman"/>
          <w:b/>
          <w:bCs/>
          <w:sz w:val="28"/>
          <w:szCs w:val="28"/>
          <w:lang w:val="en-IN"/>
        </w:rPr>
      </w:pPr>
    </w:p>
    <w:p w14:paraId="23799CEA" w14:textId="16E1DA25" w:rsidR="00253344" w:rsidRPr="00253344" w:rsidRDefault="00253344" w:rsidP="00253344">
      <w:pPr>
        <w:rPr>
          <w:rFonts w:ascii="Times New Roman" w:hAnsi="Times New Roman" w:cs="Times New Roman"/>
          <w:sz w:val="52"/>
          <w:szCs w:val="52"/>
          <w:lang w:val="en-IN"/>
        </w:rPr>
      </w:pPr>
      <w:r w:rsidRPr="00253344">
        <w:rPr>
          <w:rFonts w:ascii="Times New Roman" w:hAnsi="Times New Roman" w:cs="Times New Roman"/>
          <w:sz w:val="52"/>
          <w:szCs w:val="52"/>
          <w:lang w:val="en-IN"/>
        </w:rPr>
        <w:lastRenderedPageBreak/>
        <w:t>Table of Contents</w:t>
      </w:r>
    </w:p>
    <w:p w14:paraId="0B857535" w14:textId="6D0CD274" w:rsidR="00253344" w:rsidRPr="00253344" w:rsidRDefault="00253344" w:rsidP="00253344">
      <w:pPr>
        <w:rPr>
          <w:rFonts w:ascii="Times New Roman" w:hAnsi="Times New Roman" w:cs="Times New Roman"/>
          <w:sz w:val="24"/>
          <w:szCs w:val="24"/>
          <w:lang w:val="en-IN"/>
        </w:rPr>
      </w:pPr>
      <w:r w:rsidRPr="00971EE8">
        <w:rPr>
          <w:rFonts w:ascii="Times New Roman" w:hAnsi="Times New Roman" w:cs="Times New Roman"/>
          <w:b/>
          <w:bCs/>
          <w:sz w:val="28"/>
          <w:szCs w:val="28"/>
          <w:lang w:val="en-IN"/>
        </w:rPr>
        <w:t>1. Introduction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1.1 Latent Cancer Toxicity and Air Pollution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1.2 p53 Pathway and Cancer</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1.3 Traditional and Computational Approaches to Chemical Toxicity Evaluation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 xml:space="preserve">1.4 Data Science Meets Toxicology: Predicting Chemical Risk with Machine </w:t>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Learning</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1.5 Bridging Prediction and Reality: Validation Using Mass Spectrometry Data</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1.6 Why This Research Matters: Safer Air Through Smarter Models</w:t>
      </w:r>
    </w:p>
    <w:p w14:paraId="19EE2E93" w14:textId="0122C084" w:rsidR="00253344" w:rsidRPr="00253344" w:rsidRDefault="00253344" w:rsidP="00253344">
      <w:pPr>
        <w:rPr>
          <w:rFonts w:ascii="Times New Roman" w:hAnsi="Times New Roman" w:cs="Times New Roman"/>
          <w:sz w:val="24"/>
          <w:szCs w:val="24"/>
          <w:lang w:val="en-IN"/>
        </w:rPr>
      </w:pPr>
      <w:r w:rsidRPr="00971EE8">
        <w:rPr>
          <w:rFonts w:ascii="Times New Roman" w:hAnsi="Times New Roman" w:cs="Times New Roman"/>
          <w:b/>
          <w:bCs/>
          <w:sz w:val="28"/>
          <w:szCs w:val="28"/>
          <w:lang w:val="en-IN"/>
        </w:rPr>
        <w:t>2. Data, Tools and Machine Learning Methodology</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2.1 Biological Reasoning and Data Collection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2.2 Cheminformatics Feature Generation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2.3 Data Preprocessing and Feature Selection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 xml:space="preserve">2.4 </w:t>
      </w:r>
      <w:proofErr w:type="spellStart"/>
      <w:r w:rsidRPr="00253344">
        <w:rPr>
          <w:rFonts w:ascii="Times New Roman" w:hAnsi="Times New Roman" w:cs="Times New Roman"/>
          <w:sz w:val="24"/>
          <w:szCs w:val="24"/>
          <w:lang w:val="en-IN"/>
        </w:rPr>
        <w:t>XGBoost</w:t>
      </w:r>
      <w:proofErr w:type="spellEnd"/>
      <w:r w:rsidRPr="00253344">
        <w:rPr>
          <w:rFonts w:ascii="Times New Roman" w:hAnsi="Times New Roman" w:cs="Times New Roman"/>
          <w:sz w:val="24"/>
          <w:szCs w:val="24"/>
          <w:lang w:val="en-IN"/>
        </w:rPr>
        <w:t xml:space="preserve"> Machine Learning Model Development</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2.5 External Validation Based on Mass Spectral Data</w:t>
      </w:r>
    </w:p>
    <w:p w14:paraId="617D7958" w14:textId="02E195D0" w:rsidR="00253344" w:rsidRPr="00253344" w:rsidRDefault="00253344" w:rsidP="00253344">
      <w:pPr>
        <w:rPr>
          <w:rFonts w:ascii="Times New Roman" w:hAnsi="Times New Roman" w:cs="Times New Roman"/>
          <w:sz w:val="24"/>
          <w:szCs w:val="24"/>
          <w:lang w:val="en-IN"/>
        </w:rPr>
      </w:pPr>
      <w:r w:rsidRPr="00971EE8">
        <w:rPr>
          <w:rFonts w:ascii="Times New Roman" w:hAnsi="Times New Roman" w:cs="Times New Roman"/>
          <w:b/>
          <w:bCs/>
          <w:sz w:val="28"/>
          <w:szCs w:val="28"/>
          <w:lang w:val="en-IN"/>
        </w:rPr>
        <w:t>3. Results: Model Deployment to Actual Laboratory SOA Samples</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3.1 Sample Generation and Analysis</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3.2 Formula Attribution and Fingerprint Inference</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3.3 Model Predictions</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3.4 Literature Validation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3.5 Significance and Limitations</w:t>
      </w:r>
    </w:p>
    <w:p w14:paraId="25A50ACC" w14:textId="77777777" w:rsidR="00253344" w:rsidRPr="00971EE8" w:rsidRDefault="00253344" w:rsidP="00253344">
      <w:pPr>
        <w:rPr>
          <w:rFonts w:ascii="Times New Roman" w:hAnsi="Times New Roman" w:cs="Times New Roman"/>
          <w:sz w:val="28"/>
          <w:szCs w:val="28"/>
          <w:lang w:val="en-IN"/>
        </w:rPr>
      </w:pPr>
      <w:r w:rsidRPr="00971EE8">
        <w:rPr>
          <w:rFonts w:ascii="Times New Roman" w:hAnsi="Times New Roman" w:cs="Times New Roman"/>
          <w:b/>
          <w:bCs/>
          <w:sz w:val="28"/>
          <w:szCs w:val="28"/>
          <w:lang w:val="en-IN"/>
        </w:rPr>
        <w:t>4. Discussion</w:t>
      </w:r>
    </w:p>
    <w:p w14:paraId="479C082E" w14:textId="77777777" w:rsidR="00253344" w:rsidRPr="00971EE8" w:rsidRDefault="00253344" w:rsidP="00253344">
      <w:pPr>
        <w:rPr>
          <w:rFonts w:ascii="Times New Roman" w:hAnsi="Times New Roman" w:cs="Times New Roman"/>
          <w:sz w:val="28"/>
          <w:szCs w:val="28"/>
          <w:lang w:val="en-IN"/>
        </w:rPr>
      </w:pPr>
      <w:r w:rsidRPr="00971EE8">
        <w:rPr>
          <w:rFonts w:ascii="Times New Roman" w:hAnsi="Times New Roman" w:cs="Times New Roman"/>
          <w:b/>
          <w:bCs/>
          <w:sz w:val="28"/>
          <w:szCs w:val="28"/>
          <w:lang w:val="en-IN"/>
        </w:rPr>
        <w:t>5. Conclusion</w:t>
      </w:r>
    </w:p>
    <w:p w14:paraId="11388C1B" w14:textId="77777777" w:rsidR="008C267D" w:rsidRPr="00971EE8" w:rsidRDefault="00253344" w:rsidP="008C267D">
      <w:pPr>
        <w:rPr>
          <w:rFonts w:ascii="Times New Roman" w:hAnsi="Times New Roman" w:cs="Times New Roman"/>
          <w:b/>
          <w:bCs/>
          <w:sz w:val="28"/>
          <w:szCs w:val="28"/>
          <w:lang w:val="en-IN"/>
        </w:rPr>
      </w:pPr>
      <w:r w:rsidRPr="00971EE8">
        <w:rPr>
          <w:rFonts w:ascii="Times New Roman" w:hAnsi="Times New Roman" w:cs="Times New Roman"/>
          <w:b/>
          <w:bCs/>
          <w:sz w:val="28"/>
          <w:szCs w:val="28"/>
          <w:lang w:val="en-IN"/>
        </w:rPr>
        <w:t>Data Access</w:t>
      </w:r>
    </w:p>
    <w:p w14:paraId="5D7D1ACA" w14:textId="6C04DA53" w:rsidR="00253344" w:rsidRPr="00971EE8" w:rsidRDefault="00253344" w:rsidP="008C267D">
      <w:pPr>
        <w:rPr>
          <w:rFonts w:ascii="Times New Roman" w:hAnsi="Times New Roman" w:cs="Times New Roman"/>
          <w:sz w:val="28"/>
          <w:szCs w:val="28"/>
          <w:lang w:val="en-IN"/>
        </w:rPr>
      </w:pPr>
      <w:r w:rsidRPr="00971EE8">
        <w:rPr>
          <w:rFonts w:ascii="Times New Roman" w:hAnsi="Times New Roman" w:cs="Times New Roman"/>
          <w:b/>
          <w:bCs/>
          <w:sz w:val="28"/>
          <w:szCs w:val="28"/>
          <w:lang w:val="en-IN"/>
        </w:rPr>
        <w:t>Bibliography</w:t>
      </w:r>
    </w:p>
    <w:p w14:paraId="4DA5DE53" w14:textId="0B0E7CDE" w:rsidR="005450D6" w:rsidRPr="00F9346A" w:rsidRDefault="00874325" w:rsidP="00F9346A">
      <w:pPr>
        <w:rPr>
          <w:rFonts w:ascii="Times New Roman" w:eastAsia="Arial" w:hAnsi="Times New Roman" w:cs="Times New Roman"/>
          <w:sz w:val="48"/>
          <w:szCs w:val="48"/>
        </w:rPr>
      </w:pPr>
      <w:r>
        <w:rPr>
          <w:rFonts w:ascii="Times New Roman" w:eastAsia="Arial" w:hAnsi="Times New Roman" w:cs="Times New Roman"/>
          <w:b/>
          <w:sz w:val="52"/>
          <w:szCs w:val="52"/>
        </w:rPr>
        <w:br w:type="page"/>
      </w:r>
      <w:r w:rsidRPr="00F9346A">
        <w:rPr>
          <w:rFonts w:ascii="Times New Roman" w:eastAsia="Arial" w:hAnsi="Times New Roman" w:cs="Times New Roman"/>
          <w:sz w:val="52"/>
          <w:szCs w:val="52"/>
        </w:rPr>
        <w:lastRenderedPageBreak/>
        <w:t>Project report</w:t>
      </w:r>
    </w:p>
    <w:p w14:paraId="25619A6E" w14:textId="77777777" w:rsidR="009F3870" w:rsidRDefault="009F3870" w:rsidP="009F3870">
      <w:pPr>
        <w:spacing w:after="0"/>
        <w:rPr>
          <w:rFonts w:ascii="Times New Roman" w:hAnsi="Times New Roman" w:cs="Times New Roman"/>
          <w:b/>
          <w:bCs/>
          <w:sz w:val="28"/>
          <w:szCs w:val="28"/>
        </w:rPr>
      </w:pPr>
      <w:r w:rsidRPr="00032F89">
        <w:rPr>
          <w:rFonts w:ascii="Times New Roman" w:hAnsi="Times New Roman" w:cs="Times New Roman"/>
          <w:b/>
          <w:bCs/>
          <w:sz w:val="28"/>
          <w:szCs w:val="28"/>
        </w:rPr>
        <w:t>1. Introduction</w:t>
      </w:r>
    </w:p>
    <w:p w14:paraId="2C6E3B4A" w14:textId="77777777" w:rsidR="009F3870" w:rsidRPr="00032F89" w:rsidRDefault="009F3870" w:rsidP="009F3870">
      <w:pPr>
        <w:spacing w:after="0"/>
        <w:rPr>
          <w:rFonts w:ascii="Times New Roman" w:hAnsi="Times New Roman" w:cs="Times New Roman"/>
          <w:b/>
          <w:bCs/>
          <w:sz w:val="28"/>
          <w:szCs w:val="28"/>
        </w:rPr>
      </w:pPr>
    </w:p>
    <w:p w14:paraId="1BE54ABF" w14:textId="77777777" w:rsidR="009F3870" w:rsidRPr="00355FB8" w:rsidRDefault="009F3870" w:rsidP="009F3870">
      <w:pPr>
        <w:spacing w:after="0"/>
        <w:rPr>
          <w:rFonts w:ascii="Times New Roman" w:hAnsi="Times New Roman" w:cs="Times New Roman"/>
          <w:b/>
          <w:bCs/>
          <w:sz w:val="28"/>
          <w:szCs w:val="28"/>
        </w:rPr>
      </w:pPr>
      <w:r w:rsidRPr="00355FB8">
        <w:rPr>
          <w:rFonts w:ascii="Times New Roman" w:hAnsi="Times New Roman" w:cs="Times New Roman"/>
          <w:b/>
          <w:bCs/>
          <w:sz w:val="28"/>
          <w:szCs w:val="28"/>
        </w:rPr>
        <w:t>1.1 Latent Cancer Toxicity and Air Pollution</w:t>
      </w:r>
    </w:p>
    <w:p w14:paraId="46713217" w14:textId="77777777" w:rsidR="009F3870" w:rsidRPr="00355FB8" w:rsidRDefault="009F3870" w:rsidP="009F3870">
      <w:pPr>
        <w:spacing w:after="0"/>
        <w:rPr>
          <w:rFonts w:ascii="Times New Roman" w:hAnsi="Times New Roman" w:cs="Times New Roman"/>
          <w:b/>
          <w:bCs/>
          <w:sz w:val="28"/>
          <w:szCs w:val="28"/>
        </w:rPr>
      </w:pPr>
    </w:p>
    <w:p w14:paraId="7F9B78BD" w14:textId="77777777" w:rsidR="009F3870"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most detrimental environment health risk to human beings is air pollution, estimated to have caused around seven million premature fatalities every year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{"citationID":"SdG6cdLJ","properties":{"formattedCitation":"(WHO, 2023)","plainCitation":"(WHO, 2023)","noteIndex":0},"citationItems":[{"id":532,"uris":["http://zotero.org/users/local/PQz9MTWE/items/SRNFKIDL"],"itemData":{"id":532,"type":"webpage","abstract":"WHO fact sheet on ambient (outdoor) air quality guidelines: includes key facts, definition, health effects, guideline values and WHO response.","language":"en","title":"Ambient (outdoor) air pollution","URL":"https://www.who.int/news-room/fact-sheets/detail/ambient-(outdoor)-air-quality-and-health","author":[{"family":"WHO","given":"WHO"}],"accessed":{"date-parts":[["2025",7,28]]},"issued":{"date-parts":[["2023"]]}}}],"schema":"https://github.com/citation-style-language/schema/raw/master/csl-citation.json"} </w:instrText>
      </w:r>
      <w:r>
        <w:rPr>
          <w:rFonts w:ascii="Times New Roman" w:hAnsi="Times New Roman" w:cs="Times New Roman"/>
          <w:sz w:val="24"/>
          <w:szCs w:val="24"/>
        </w:rPr>
        <w:fldChar w:fldCharType="separate"/>
      </w:r>
      <w:r w:rsidRPr="00C03378">
        <w:rPr>
          <w:rFonts w:ascii="Times New Roman" w:hAnsi="Times New Roman" w:cs="Times New Roman"/>
          <w:sz w:val="24"/>
        </w:rPr>
        <w:t>(WHO, 2023)</w:t>
      </w:r>
      <w:r>
        <w:rPr>
          <w:rFonts w:ascii="Times New Roman" w:hAnsi="Times New Roman" w:cs="Times New Roman"/>
          <w:sz w:val="24"/>
          <w:szCs w:val="24"/>
        </w:rPr>
        <w:fldChar w:fldCharType="end"/>
      </w:r>
      <w:r w:rsidRPr="00355FB8">
        <w:rPr>
          <w:rFonts w:ascii="Times New Roman" w:hAnsi="Times New Roman" w:cs="Times New Roman"/>
          <w:sz w:val="24"/>
          <w:szCs w:val="24"/>
        </w:rPr>
        <w:t>. Most troubling is fine particulate matter with a diameter smaller than 2.5 microns (PM₂.₅) since it can enter the body's own natural air defences, go deep into tissue within the lungs and into the blood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{"citationID":"1b27SraI","properties":{"formattedCitation":"(Brook et al., 2010; Pope III and and Dockery, 2006)","plainCitation":"(Brook et al., 2010; Pope III and and Dockery, 2006)","noteIndex":0},"citationItems":[{"id":299,"uris":["http://zotero.org/users/local/PQz9MTWE/items/UMMQTSDN"],"itemData":{"id":299,"type":"article-journal","abstract":"In 2004, the first American Heart Association scientific statement on “Air Pollution and Cardiovascular Disease” concluded that exposure to particulate matter (PM) air pollution contributes to cardiovascular morbidity and mortality. In the interim, numerous studies have expanded our understanding of this association and further elucidated the physiological and molecular mechanisms involved. The main objective of this updated American Heart Association scientific statement is to provide a comprehensive review of the new evidence linking PM exposure with cardiovascular disease, with a specific focus on highlighting the clinical implications for researchers and healthcare providers. The writing group also sought to provide expert consensus opinions on many aspects of the current state of science and updated suggestions for areas of future research. On the basis of the findings of this review, several new conclusions were reached, including the following: Exposure to PM &lt;2.5 μm in diameter (PM2.5) over a few hours to weeks can trigger cardiovascular disease–related mortality and nonfatal events; longer-term exposure (eg, a few years) increases the risk for cardiovascular mortality to an even greater extent than exposures over a few days and reduces life expectancy within more highly exposed segments of the population by several months to a few years; reductions in PM levels are associated with decreases in cardiovascular mortality within a time frame as short as a few years; and many credible pathological mechanisms have been elucidated that lend biological plausibility to these findings. It is the opinion of the writing group that the overall evidence is consistent with a causal relationship between PM2.5 exposure and cardiovascular morbidity and mortality. This body of evidence has grown and been strengthened substantially since the first American Heart Association scientific statement was published. Finally, PM2.5 exposure is deemed a modifiable factor that contributes to cardiovascular morbidity and mortality.","container-title":"Circulation","DOI":"10.1161/CIR.0b013e3181dbece1","issue":"21","note":"publisher: American Heart Association","page":"2331-2378","source":"ahajournals.org (Atypon)","title":"Particulate Matter Air Pollution and Cardiovascular Disease","volume":"121","author":[{"family":"Brook","given":"Robert D."},{"family":"Rajagopalan","given":"Sanjay"},{"family":"Pope","given":"C. Arden"},{"family":"Brook","given":"Jeffrey R."},{"family":"Bhatnagar","given":"Aruni"},{"family":"Diez-Roux","given":"Ana V."},{"family":"Holguin","given":"Fernando"},{"family":"Hong","given":"Yuling"},{"family":"Luepker","given":"Russell V."},{"family":"Mittleman","given":"Murray A."},{"family":"Peters","given":"Annette"},{"family":"Siscovick","given":"David"},{"family":"Smith","given":"Sidney C."},{"family":"Whitsel","given":"Laurie"},{"family":"Kaufman","given":"Joel D."}],"issued":{"date-parts":[["2010",6]]}}},{"id":129,"uris":["http://zotero.org/users/local/PQz9MTWE/items/U85WHVRD"],"itemData":{"id":129,"type":"article-journal","container-title":"Journal of the Air &amp; Waste Management Association","DOI":"10.1080/10473289.2006.10464485","ISSN":"1096-2247","issue":"6","note":"publisher: Taylor &amp; Francis","page":"709-742","source":"tandfonline.com (Atypon)","title":"Health Effects of Fine Particulate Air Pollution: Lines that Connect","title-short":"Health Effects of Fine Particulate Air Pollution","volume":"56","author":[{"family":"Pope III","given":"C. Arden"},{"family":"Dockery","given":"Douglas W.","non-dropping-particle":"and"}],"issued":{"date-parts":[["2006",6]]}}}],"schema":"https://github.com/citation-style-language/schema/raw/master/csl-citation.json"} </w:instrText>
      </w:r>
      <w:r>
        <w:rPr>
          <w:rFonts w:ascii="Times New Roman" w:hAnsi="Times New Roman" w:cs="Times New Roman"/>
          <w:sz w:val="24"/>
          <w:szCs w:val="24"/>
        </w:rPr>
        <w:fldChar w:fldCharType="separate"/>
      </w:r>
      <w:r w:rsidRPr="00E2113B">
        <w:rPr>
          <w:rFonts w:ascii="Times New Roman" w:hAnsi="Times New Roman" w:cs="Times New Roman"/>
          <w:sz w:val="24"/>
        </w:rPr>
        <w:t>(Brook et al., 2010; Pope III and and Dockery, 2006)</w:t>
      </w:r>
      <w:r>
        <w:rPr>
          <w:rFonts w:ascii="Times New Roman" w:hAnsi="Times New Roman" w:cs="Times New Roman"/>
          <w:sz w:val="24"/>
          <w:szCs w:val="24"/>
        </w:rPr>
        <w:fldChar w:fldCharType="end"/>
      </w:r>
      <w:r w:rsidRPr="00355FB8">
        <w:rPr>
          <w:rFonts w:ascii="Times New Roman" w:hAnsi="Times New Roman" w:cs="Times New Roman"/>
          <w:sz w:val="24"/>
          <w:szCs w:val="24"/>
        </w:rPr>
        <w:t>. If in the blood, they can cause one to be more susceptible to disease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{"citationID":"43SCFV2W","properties":{"formattedCitation":"(Kim et al., 2015)","plainCitation":"(Kim et al., 2015)","noteIndex":0},"citationItems":[{"id":304,"uris":["http://zotero.org/users/local/PQz9MTWE/items/V3RGNBYS"],"itemData":{"id":304,"type":"article-journal","container-title":"Environment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Pr>
          <w:rFonts w:ascii="Times New Roman" w:hAnsi="Times New Roman" w:cs="Times New Roman"/>
          <w:sz w:val="24"/>
          <w:szCs w:val="24"/>
        </w:rPr>
        <w:fldChar w:fldCharType="separate"/>
      </w:r>
      <w:r w:rsidRPr="00287C01">
        <w:rPr>
          <w:rFonts w:ascii="Times New Roman" w:hAnsi="Times New Roman" w:cs="Times New Roman"/>
          <w:sz w:val="24"/>
        </w:rPr>
        <w:t>(Kim et al., 2015)</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73E971" w14:textId="77777777" w:rsidR="009F3870" w:rsidRDefault="009F3870" w:rsidP="009F3870">
      <w:pPr>
        <w:spacing w:after="0"/>
        <w:jc w:val="both"/>
        <w:rPr>
          <w:rFonts w:ascii="Times New Roman" w:hAnsi="Times New Roman" w:cs="Times New Roman"/>
          <w:sz w:val="24"/>
          <w:szCs w:val="24"/>
        </w:rPr>
      </w:pPr>
    </w:p>
    <w:p w14:paraId="1BCF546B" w14:textId="77777777" w:rsidR="009F3870" w:rsidRDefault="009F3870" w:rsidP="009F3870">
      <w:pPr>
        <w:spacing w:after="0"/>
        <w:jc w:val="center"/>
        <w:rPr>
          <w:rFonts w:ascii="Times New Roman" w:hAnsi="Times New Roman" w:cs="Times New Roman"/>
          <w:sz w:val="24"/>
          <w:szCs w:val="24"/>
        </w:rPr>
      </w:pPr>
      <w:r>
        <w:rPr>
          <w:noProof/>
        </w:rPr>
        <w:drawing>
          <wp:inline distT="0" distB="0" distL="0" distR="0" wp14:anchorId="6BAC042C" wp14:editId="41290E0F">
            <wp:extent cx="4639483" cy="4638968"/>
            <wp:effectExtent l="0" t="0" r="8890" b="9525"/>
            <wp:docPr id="12293905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5998" cy="4645482"/>
                    </a:xfrm>
                    <a:prstGeom prst="rect">
                      <a:avLst/>
                    </a:prstGeom>
                    <a:noFill/>
                    <a:ln>
                      <a:noFill/>
                    </a:ln>
                  </pic:spPr>
                </pic:pic>
              </a:graphicData>
            </a:graphic>
          </wp:inline>
        </w:drawing>
      </w:r>
    </w:p>
    <w:p w14:paraId="7BE64178" w14:textId="77777777" w:rsidR="009F3870" w:rsidRPr="004D48C3" w:rsidRDefault="009F3870" w:rsidP="009F3870">
      <w:pPr>
        <w:spacing w:after="0"/>
        <w:jc w:val="center"/>
        <w:rPr>
          <w:rFonts w:ascii="Times New Roman" w:hAnsi="Times New Roman" w:cs="Times New Roman"/>
        </w:rPr>
      </w:pPr>
      <w:r w:rsidRPr="004D48C3">
        <w:rPr>
          <w:rFonts w:ascii="Times New Roman" w:hAnsi="Times New Roman" w:cs="Times New Roman"/>
          <w:b/>
          <w:bCs/>
        </w:rPr>
        <w:t>Figure 1.1.</w:t>
      </w:r>
      <w:r>
        <w:rPr>
          <w:rFonts w:ascii="Times New Roman" w:hAnsi="Times New Roman" w:cs="Times New Roman"/>
        </w:rPr>
        <w:t xml:space="preserve"> </w:t>
      </w:r>
      <w:r w:rsidRPr="008D57AB">
        <w:rPr>
          <w:rFonts w:ascii="Times New Roman" w:hAnsi="Times New Roman" w:cs="Times New Roman"/>
        </w:rPr>
        <w:t>Schematic of PM₂.₅ particle penetration into the respiratory tract and bloodstream, highlighting pathways of systemic health effects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{"citationID":"Fw0AAllu","properties":{"formattedCitation":"(WHO, 2025)","plainCitation":"(WHO, 2025)","noteIndex":0},"citationItems":[{"id":842,"uris":["http://zotero.org/users/local/PQz9MTWE/items/LDFQNGTL"],"itemData":{"id":842,"type":"webpage","language":"en","title":"Particulate matters and its health impacts","URL":"https://www.who.int/multi-media/details/particulate-matters-and-its-health-impacts","author":[{"family":"WHO","given":"WHO"}],"accessed":{"date-parts":[["2025",8,18]]},"issued":{"date-parts":[["2025"]]}}}],"schema":"https://github.com/citation-style-language/schema/raw/master/csl-citation.json"} </w:instrText>
      </w:r>
      <w:r>
        <w:rPr>
          <w:rFonts w:ascii="Times New Roman" w:hAnsi="Times New Roman" w:cs="Times New Roman"/>
        </w:rPr>
        <w:fldChar w:fldCharType="separate"/>
      </w:r>
      <w:r w:rsidRPr="002948F9">
        <w:rPr>
          <w:rFonts w:ascii="Times New Roman" w:hAnsi="Times New Roman" w:cs="Times New Roman"/>
        </w:rPr>
        <w:t>(WHO, 2025)</w:t>
      </w:r>
      <w:r>
        <w:rPr>
          <w:rFonts w:ascii="Times New Roman" w:hAnsi="Times New Roman" w:cs="Times New Roman"/>
        </w:rPr>
        <w:fldChar w:fldCharType="end"/>
      </w:r>
      <w:r w:rsidRPr="004D48C3">
        <w:rPr>
          <w:rFonts w:ascii="Times New Roman" w:hAnsi="Times New Roman" w:cs="Times New Roman"/>
        </w:rPr>
        <w:t>.</w:t>
      </w:r>
    </w:p>
    <w:p w14:paraId="4B6A8610" w14:textId="77777777" w:rsidR="009F3870" w:rsidRPr="00355FB8" w:rsidRDefault="009F3870" w:rsidP="009F3870">
      <w:pPr>
        <w:spacing w:after="0"/>
        <w:jc w:val="both"/>
        <w:rPr>
          <w:rFonts w:ascii="Times New Roman" w:hAnsi="Times New Roman" w:cs="Times New Roman"/>
          <w:sz w:val="24"/>
          <w:szCs w:val="24"/>
        </w:rPr>
      </w:pPr>
    </w:p>
    <w:p w14:paraId="50A5FC30" w14:textId="072CDE60"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danger posed by PM</w:t>
      </w:r>
      <w:proofErr w:type="gramStart"/>
      <w:r w:rsidRPr="00355FB8">
        <w:rPr>
          <w:rFonts w:ascii="Times New Roman" w:hAnsi="Times New Roman" w:cs="Times New Roman"/>
          <w:sz w:val="24"/>
          <w:szCs w:val="24"/>
        </w:rPr>
        <w:t>₂.₅</w:t>
      </w:r>
      <w:proofErr w:type="gramEnd"/>
      <w:r w:rsidRPr="00355FB8">
        <w:rPr>
          <w:rFonts w:ascii="Times New Roman" w:hAnsi="Times New Roman" w:cs="Times New Roman"/>
          <w:sz w:val="24"/>
          <w:szCs w:val="24"/>
        </w:rPr>
        <w:t xml:space="preserve"> is not just because of </w:t>
      </w:r>
      <w:r>
        <w:rPr>
          <w:rFonts w:ascii="Times New Roman" w:hAnsi="Times New Roman" w:cs="Times New Roman"/>
          <w:sz w:val="24"/>
          <w:szCs w:val="24"/>
        </w:rPr>
        <w:t>its very small</w:t>
      </w:r>
      <w:r w:rsidRPr="00355FB8">
        <w:rPr>
          <w:rFonts w:ascii="Times New Roman" w:hAnsi="Times New Roman" w:cs="Times New Roman"/>
          <w:sz w:val="24"/>
          <w:szCs w:val="24"/>
        </w:rPr>
        <w:t xml:space="preserve"> size but also because of the c</w:t>
      </w:r>
      <w:r>
        <w:rPr>
          <w:rFonts w:ascii="Times New Roman" w:hAnsi="Times New Roman" w:cs="Times New Roman"/>
          <w:sz w:val="24"/>
          <w:szCs w:val="24"/>
        </w:rPr>
        <w:t xml:space="preserve">omplex chemical composition of these particles. </w:t>
      </w:r>
      <w:r w:rsidRPr="00355FB8">
        <w:rPr>
          <w:rFonts w:ascii="Times New Roman" w:hAnsi="Times New Roman" w:cs="Times New Roman"/>
          <w:sz w:val="24"/>
          <w:szCs w:val="24"/>
        </w:rPr>
        <w:t>The</w:t>
      </w:r>
      <w:r>
        <w:rPr>
          <w:rFonts w:ascii="Times New Roman" w:hAnsi="Times New Roman" w:cs="Times New Roman"/>
          <w:sz w:val="24"/>
          <w:szCs w:val="24"/>
        </w:rPr>
        <w:t>y</w:t>
      </w:r>
      <w:r w:rsidRPr="00355FB8">
        <w:rPr>
          <w:rFonts w:ascii="Times New Roman" w:hAnsi="Times New Roman" w:cs="Times New Roman"/>
          <w:sz w:val="24"/>
          <w:szCs w:val="24"/>
        </w:rPr>
        <w:t xml:space="preserve"> have a </w:t>
      </w:r>
      <w:r w:rsidR="006E7C2C" w:rsidRPr="006E7C2C">
        <w:rPr>
          <w:rFonts w:ascii="Times New Roman" w:hAnsi="Times New Roman" w:cs="Times New Roman"/>
          <w:sz w:val="24"/>
          <w:szCs w:val="24"/>
        </w:rPr>
        <w:t>natural tendency</w:t>
      </w:r>
      <w:r w:rsidRPr="00355FB8">
        <w:rPr>
          <w:rFonts w:ascii="Times New Roman" w:hAnsi="Times New Roman" w:cs="Times New Roman"/>
          <w:sz w:val="24"/>
          <w:szCs w:val="24"/>
        </w:rPr>
        <w:t xml:space="preserve"> to transfer a mix of the toxicants </w:t>
      </w:r>
      <w:r>
        <w:rPr>
          <w:rFonts w:ascii="Times New Roman" w:hAnsi="Times New Roman" w:cs="Times New Roman"/>
          <w:sz w:val="24"/>
          <w:szCs w:val="24"/>
        </w:rPr>
        <w:t xml:space="preserve">including </w:t>
      </w:r>
      <w:r w:rsidRPr="00355FB8">
        <w:rPr>
          <w:rFonts w:ascii="Times New Roman" w:hAnsi="Times New Roman" w:cs="Times New Roman"/>
          <w:sz w:val="24"/>
          <w:szCs w:val="24"/>
        </w:rPr>
        <w:t>polycyclic aromatic hydrocarbons (PAHs)</w:t>
      </w:r>
      <w:r>
        <w:rPr>
          <w:rFonts w:ascii="Times New Roman" w:hAnsi="Times New Roman" w:cs="Times New Roman"/>
          <w:sz w:val="24"/>
          <w:szCs w:val="24"/>
        </w:rPr>
        <w:t xml:space="preserve">, </w:t>
      </w:r>
      <w:r w:rsidRPr="00355FB8">
        <w:rPr>
          <w:rFonts w:ascii="Times New Roman" w:hAnsi="Times New Roman" w:cs="Times New Roman"/>
          <w:sz w:val="24"/>
          <w:szCs w:val="24"/>
        </w:rPr>
        <w:t>volatile organic compounds (VOCs)</w:t>
      </w:r>
      <w:r>
        <w:rPr>
          <w:rFonts w:ascii="Times New Roman" w:hAnsi="Times New Roman" w:cs="Times New Roman"/>
          <w:sz w:val="24"/>
          <w:szCs w:val="24"/>
        </w:rPr>
        <w:t>,</w:t>
      </w:r>
      <w:r w:rsidRPr="00355FB8">
        <w:rPr>
          <w:rFonts w:ascii="Times New Roman" w:hAnsi="Times New Roman" w:cs="Times New Roman"/>
          <w:sz w:val="24"/>
          <w:szCs w:val="24"/>
        </w:rPr>
        <w:t xml:space="preserve"> nitroaromatics and transition metals such as lead and cadmium, together with reactive oxygen species (ROS), all of which have well-documented connections to </w:t>
      </w:r>
      <w:r w:rsidRPr="00355FB8">
        <w:rPr>
          <w:rFonts w:ascii="Times New Roman" w:hAnsi="Times New Roman" w:cs="Times New Roman"/>
          <w:sz w:val="24"/>
          <w:szCs w:val="24"/>
        </w:rPr>
        <w:lastRenderedPageBreak/>
        <w:t xml:space="preserve">carcinogenic processes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{"citationID":"62twpV4O","properties":{"formattedCitation":"(Kelly and Fussell, 2012; Kovacic and Somanathan, 2014; Shrivastava et al., 2017)","plainCitation":"(Kelly and Fussell, 2012; Kovacic and Somanathan, 2014; Shrivastava et al., 2017)","noteIndex":0},"citationItems":[{"id":260,"uris":["http://zotero.org/users/local/PQz9MTWE/items/WXYLJWWT"],"itemData":{"id":260,"type":"article-journal","abstract":"Particulate matter (PM) is a complex, heterogeneous mixture that changes in time and space. It encompasses many different chemical components and physical characteristics, many of which have been cited as potential contributors to toxicity. Each component has multiple sources, and each source generates multiple components. Identifying and quantifying the inﬂuences of speciﬁc components or source-related mixtures on measures of health-related impacts, especially when particles interact with other co-pollutants, therefore represents one of the most challenging areas of environmental health research. Current knowledge does not allow precise quantiﬁcation or deﬁnitive ranking of the health effects of PM emissions from different sources or of individual PM components and indeed, associations may be the result of multiple components acting on different physiological mechanisms. Some results do suggest a degree of differential toxicity, namely more consistent associations with trafﬁc-related PM emissions, ﬁne and ultraﬁne particles, speciﬁc metals and elemental carbon and a range of serious health effects, including increased morbidity and mortality from cardiovascular and respiratory conditions. A carefully targeted programme of contemporary toxicological and epidemiological research, incorporating more reﬁned approaches (e.g. greater speciation data, more reﬁned modelling techniques, accurate exposure assessment and better deﬁnition of individual susceptibility) and optimal collaboration amongst multidisciplinary teams, is now needed to advance our understanding of the relative toxicity of particles from various sources, especially the components and reactions products of trafﬁc. This will facilitate targeted abatement policies, more effective pollution control measures and ultimately, a reduction in the burden of disease attributable to ambient PM pollution.","container-title":"Atmospheric Environment","DOI":"10.1016/j.atmosenv.2012.06.039","ISSN":"1352-2310","language":"en","license":"https://www.elsevier.com/tdm/userlicense/1.0/","note":"publisher: Elsevier BV","page":"504-526","source":"Crossref","title":"Size, source and chemical composition as determinants of toxicity attributable to ambient particulate matter","volume":"60","author":[{"family":"Kelly","given":"Frank J."},{"family":"Fussell","given":"Julia C."}],"issued":{"date-parts":[["2012",12]]}}},{"id":223,"uris":["http://zotero.org/users/local/PQz9MTWE/items/7N78APR9"],"itemData":{"id":223,"type":"article-journal","abstract":"ABSTRACTVehicle pollution is an increasing problem in the industrial world. Aromatic nitro compounds comprise a significant portion of the threat. In this review, the class includes nitro derivatives of benzene, biphenyls, naphthalenes, benzanthrone and polycyclic aromatic hydrocarbons, plus nitroheteroaromatic compounds. The numerous toxic manifestations are discussed. An appreciable number of drugs incorporate the nitroaromatic structure. The mechanistic aspects of both toxicity and therapy are addressed in the context of a unifying mechanism involving electron transfer, reactive oxygen species, oxidative stress and antioxidants. Copyright © 2014 John Wiley &amp; Sons, Ltd.","container-title":"Journal of Applied Toxicology","DOI":"10.1002/jat.2980","ISSN":"1099-1263","issue":"8","language":"en","license":"Copyright © 2014 John Wiley &amp; Sons, Ltd.","note":"_eprint: https://onlinelibrary.wiley.com/doi/pdf/10.1002/jat.2980","page":"810-824","source":"Wiley Online Library","title":"Nitroaromatic compounds: Environmental toxicity, carcinogenicity, mutagenicity, therapy and mechanism","title-short":"Nitroaromatic compounds","volume":"34","author":[{"family":"Kovacic","given":"Peter"},{"family":"Somanathan","given":"Ratnasamy"}],"issued":{"date-parts":[["2014"]]}}},{"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AF6BE1">
        <w:rPr>
          <w:rFonts w:ascii="Times New Roman" w:hAnsi="Times New Roman" w:cs="Times New Roman"/>
          <w:sz w:val="24"/>
        </w:rPr>
        <w:t>(Kelly and Fussell, 2012; Kovacic and Somanathan, 2014; Shrivastava et al., 2017)</w:t>
      </w:r>
      <w:r>
        <w:rPr>
          <w:rFonts w:ascii="Times New Roman" w:hAnsi="Times New Roman" w:cs="Times New Roman"/>
          <w:sz w:val="24"/>
          <w:szCs w:val="24"/>
        </w:rPr>
        <w:fldChar w:fldCharType="end"/>
      </w:r>
      <w:r w:rsidRPr="00355FB8">
        <w:rPr>
          <w:rFonts w:ascii="Times New Roman" w:hAnsi="Times New Roman" w:cs="Times New Roman"/>
          <w:sz w:val="24"/>
          <w:szCs w:val="24"/>
        </w:rPr>
        <w:t>. They are primarily derived from automotive exhausts, fossil fuel combustion, industrial discharge, and agricultural burning of biomass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{"citationID":"D0pcR76n","properties":{"formattedCitation":"(Hallquist et al., 2009; P\\uc0\\u246{}schl, 2005; Seinfeld, n.d., p. 2016; Seinfeld and Pandis, 2016)","plainCitation":"(Hallquist et al., 2009; Pöschl, 2005; Seinfeld, n.d., p. 2016; Seinfeld and Pandis, 2016)","dontUpdate":true,"noteIndex":0},"citationItems":[{"id":737,"uris":["http://zotero.org/users/local/PQz9MTWE/items/WIN9UDB7"],"itemData":{"id":737,"type":"article-journal","abstract":"Secondary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D."},{"family":"Szmigielski","given":"R."},{"family":"Wildt","given":"J."}],"issued":{"date-parts":[["2009",7,29]]}}},{"id":307,"uris":["http://zotero.org/users/local/PQz9MTWE/items/ENDPBZBL"],"itemData":{"id":307,"type":"article-journal","abstract":"Aerosols are of central importance for atmospheric chemistry and physics, the biosphere, climate, and public health. The airborne solid and liquid particles in the nanometer to micrometer size range influence the energy balance of the Earth, the hydrological cycle, atmospheric circulation, and the abundance of greenhouse and reactive trace gases. Moreover, they play important roles in the reproduction of biological organisms and can cause or enhance diseases. The primary parameters that determine the environmental and health effects of aerosol particles are their concentration, size, structure, and chemical composition. These parameters, however, are spatially and temporally highly variable. The quantification and identification of biological particles and carbonaceous components of fine particulate matter in the air (organic compounds and black or elemental carbon, respectively) represent demanding analytical challenges. This Review outlines the current state of knowledge, major open questions, and research perspectives on the properties and interactions of atmospheric aerosols and their effects on climate and human health.","container-title":"Angewandte Chemie International Edition","DOI":"10.1002/anie.200501122","ISSN":"1521-3773","issue":"46","language":"en","license":"Copyright © 2005 WILEY-VCH Verlag GmbH &amp; Co. KGaA, Weinheim","note":"_eprint: https://onlinelibrary.wiley.com/doi/pdf/10.1002/anie.200501122","page":"7520-7540","source":"Wiley Online Library","title":"Atmospheric Aerosols: Composition, Transformation, Climate and Health Effects","title-short":"Atmospheric Aerosols","volume":"44","author":[{"family":"Pöschl","given":"Ulrich"}],"issued":{"date-parts":[["2005"]]}}},{"id":619,"uris":["http://zotero.org/users/local/PQz9MTWE/items/YMAYND8A"],"itemData":{"id":619,"type":"article-journal","language":"en","source":"Zotero","title":"A Wiley Interscience Publication","author":[{"family":"Seinfeld","given":"J. H."}]},"locator":"2016","label":"page"},{"id":808,"uris":["http://zotero.org/users/local/PQz9MTWE/items/TZT9YSUV"],"itemData":{"id":808,"type":"book","abstract":"Expanded and updated with new findings and new features  New chapter on Global Climate providing a self-contained treatment of climate forcing, feedbacks, and climate sensitivity New chapter on Atmospheric Organic Aerosols and new treatment of the statistical method of Positive Matrix Factorization Updated treatments of physical meteorology, atmospheric nucleation, aerosol-cloud relationships, chemistry of biogenic hydrocarbons Each topic developed from the fundamental science to the point of application to real-world problems New problems at an introductory level to aid in classroom teaching","ISBN":"978-1-118-94740-1","language":"en","note":"Google-Books-ID: n_RmCgAAQBAJ","number-of-pages":"1146","publisher":"John Wiley &amp; Sons","source":"Google Books","title":"Atmospheric Chemistry and Physics: From Air Pollution to Climate Change","title-short":"Atmospheric Chemistry and Physics","author":[{"family":"Seinfeld","given":"John H."},{"family":"Pandis","given":"Spyros N."}],"issued":{"date-parts":[["2016",4,4]]}}}],"schema":"https://github.com/citation-style-language/schema/raw/master/csl-citation.json"} </w:instrText>
      </w:r>
      <w:r>
        <w:rPr>
          <w:rFonts w:ascii="Times New Roman" w:hAnsi="Times New Roman" w:cs="Times New Roman"/>
          <w:sz w:val="24"/>
          <w:szCs w:val="24"/>
        </w:rPr>
        <w:fldChar w:fldCharType="separate"/>
      </w:r>
      <w:r w:rsidRPr="005B5E2A">
        <w:rPr>
          <w:rFonts w:ascii="Times New Roman" w:hAnsi="Times New Roman" w:cs="Times New Roman"/>
          <w:sz w:val="24"/>
        </w:rPr>
        <w:t>(Hallquist et al., 2009; Pöschl, 2005; Seinfeld and Pandis, 2016)</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C89841" w14:textId="77777777" w:rsidR="009F3870" w:rsidRPr="00355FB8" w:rsidRDefault="009F3870" w:rsidP="009F3870">
      <w:pPr>
        <w:spacing w:after="0"/>
        <w:jc w:val="both"/>
        <w:rPr>
          <w:rFonts w:ascii="Times New Roman" w:hAnsi="Times New Roman" w:cs="Times New Roman"/>
          <w:sz w:val="24"/>
          <w:szCs w:val="24"/>
        </w:rPr>
      </w:pPr>
    </w:p>
    <w:p w14:paraId="4C85AEC8" w14:textId="77777777"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 xml:space="preserve">Due to its deep lung penetration and chemical toxics load, PM₂.₅ is also widely reported to cause a series of chronic diseases like cardiovascular and respiratory diseases, and importantly, a series of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{"citationID":"AWpsuYRc","properties":{"formattedCitation":"(Eaves et al., 2020; Khan et al., 2022; Li et al., 2018; Lima de Albuquerque et al., 2021; Thangavel et al., 2022)","plainCitation":"(Eaves et al., 2020; Khan et al., 2022; Li et al., 2018; Lima de Albuquerque et al., 2021; Thangavel et al., 2022)","noteIndex":0},"citationItems":[{"id":158,"uris":["http://zotero.org/users/local/PQz9MTWE/items/4AHHEPM7"],"itemData":{"id":158,"type":"article-journal","abstract":"Exposure to fine particulate matter (PM2.5), of which secondary organic aerosol (SOA) is a major constituent, is linked to adverse health outcomes, including cardiovascular disease, lung cancer, and preterm birth. Atmospheric oxidation of isoprene, the most abundant nonmethane hydrocarbon emitted into Earth's atmosphere primarily from vegetation, contributes to SOA formation. Isoprene-derived SOA has previously been found to alter inflammatory/oxidative stress genes. MicroRNAs (miRNAs) are epigenetic regulators that serve as post-transcriptional modifiers and key mediators of gene expression. To assess whether isoprene-derived SOA alters miRNA expression, BEAS-2B lung cells were exposed to laboratory-generated isoprene-derived SOA constituents derived from the acid-driven multiphase chemistry of authentic methacrylic acid epoxide (MAE) or isomeric isoprene epoxydiols (IEPOX) with acidic sulfate aerosol particles. These IEPOX- and MAE-derived SOA constituents have been shown to be measured in large quantities within PM2.5 collected from isoprene-rich areas affected by acidic sulfate aerosol particles derived from human activities. A total of 29 miRNAs were identified as differentially expressed when exposed to IEPOX-derived SOA and 2 when exposed to MAE-derived SOA, a number of which are inflammatory/oxidative stress associated. These results suggest that miRNAs may modulate the inflammatory/oxidative stress response to SOA exposure, thereby advancing the understanding of airway cell epigenetic response to SOA.","container-title":"Chemical Research in Toxicology","DOI":"10.1021/acs.chemrestox.9b00322","ISSN":"1520-5010","issue":"2","journalAbbreviation":"Chem Res Toxicol","language":"eng","note":"PMID: 31765140\nPMCID: PMC7243464","page":"381-387","source":"PubMed","title":"Isoprene-Derived Secondary Organic Aerosol Induces the Expression of MicroRNAs Associated with Inflammatory/Oxidative Stress Response in Lung Cells","volume":"33","author":[{"family":"Eaves","given":"Lauren A."},{"family":"Smeester","given":"Lisa"},{"family":"Hartwell","given":"Hadley J."},{"family":"Lin","given":"Ying-Hsuan"},{"family":"Arashiro","given":"Maiko"},{"family":"Zhang","given":"Zhenfa"},{"family":"Gold","given":"Avram"},{"family":"Surratt","given":"Jason D."},{"family":"Fry","given":"Rebecca C."}],"issued":{"date-parts":[["2020",2,17]]}}},{"id":156,"uris":["http://zotero.org/users/local/PQz9MTWE/items/SJFYACS7"],"itemData":{"id":156,"type":"article-journal","abstract":"Nitrophenols (NPs) are hazardous pollutants found in various environmental matrices, including ambient fine particulate matter (PM2.5), agricultural residues, rainwater, wildfires, and industrial wastes. This study showed for the first time the effect of three pure nitrophenols and their mixture on human lung cells to provide basic understanding of the NP influence on cell elements and processes. We identified NPs in ambient PM2.5 and secondary organic aerosol (SOA) particles generated from the photooxidation of monocyclic aromatic hydrocarbons in the U.S. EPA smog chamber. We assessed the toxicity of identified NPs and their equimolar mixture in normal bronchial epithelial (BEAS-2B) and alveolar epithelial cancer (A549) lung cell lines. The inhibitory concentration-50 (IC50) values were highest and lowest in BEAS-2B cells treated with 2-nitrophenol (2NP) and 4-nitrophenol (4NP), respectively, at 24 h of exposure. The lactate dehydrogenase (LDH) assay showed that 4NP, the most abundant NP we identified in PM2.5, was the most cytotoxic NP examined in both cell lines. The annexin-V/fluorescein isothiocyanate (FITC) analysis showed that the populations of late apoptotic/necrotic BEAS-2B and A549 cells exposed to 3NP, 4NP, and NP equimolar mixture increased between 24 and 48 h. Cellular reactive oxygen species (ROS) buildup led to cellular death post exposure to 3NP, 4NP and the NP mixtures, while 2NP induced the lowest ROS buildup. An increased mitochondrial ROS signal following NP exposure occurred only in BEAS-2B cells. The tetramethylrhodamine, methyl ester, perchlorate (TMRM) assay showed that exposed cells exhibited collapse of the mitochondrial membrane potential. TMRM signals decreased significantly only in BEAS-2B cells, and most strongly with 4NP exposures. Our results suggest that acute atmospheric exposures to NPs may be toxic at high concentrations, but not at ambient PM2.5 concentrations. Further chronic studies with NP and NP-containing PM2.5 are warranted to assess their contribution to lung pathologies.","container-title":"Environmental Pollution","DOI":"10.1016/j.envpol.2022.119010","ISSN":"0269-7491","journalAbbreviation":"Environmental Pollution","page":"119010","source":"ScienceDirect","title":"Cytotoxicity and oxidative stress induced by atmospheric mono-nitrophenols in human lung cells","volume":"301","author":[{"family":"Khan","given":"Faria"},{"family":"Jaoui","given":"Mohammed"},{"family":"Rudziński","given":"Krzysztof"},{"family":"Kwapiszewska","given":"Karina"},{"family":"Martinez-Romero","given":"Alicia"},{"family":"Gil-Casanova","given":"Domingo"},{"family":"Lewandowski","given":"Michael"},{"family":"Kleindienst","given":"Tadeusz E."},{"family":"Offenberg","given":"John H."},{"family":"Krug","given":"Jonathan D."},{"family":"Surratt","given":"Jason D."},{"family":"Szmigielski","given":"Rafal"}],"issued":{"date-parts":[["2022",5,15]]}}},{"id":813,"uris":["http://zotero.org/users/local/PQz9MTWE/items/GUMAX8GB"],"itemData":{"id":813,"type":"article-journal","abstract":"Previous research has identified that air pollution is associated with various respiratory diseases, but few studies have investigated the function served by particulate matter 2.5 (PM2.5) in these diseases. PM2.5 is known to cause epigenetic and microenvironmental alterations in lung cancer, including tumor-associated signaling pathway activation mediated by microRNA dysregulation, DNA methylation, and increased levels of cytokines and inflammatory cells. Autophagy and apoptosis of tumor cells may also be detected in lung cancer associated with PM2.5 exposure. A number of mechanisms are involved in triggering and aggravating asthma and COPD, including PM2.5-induced cytokine release and oxidative stress. The present review is an overview of the underlying molecular mechanisms of PM2.5-induced pathogenesis in lung cancer and chronic airway inflammatory diseases.","container-title":"Oncology Letters","DOI":"10.3892/ol.2018.8355","ISSN":"1792-1074","issue":"5","journalAbbreviation":"Oncol Lett","language":"eng","note":"PMID: 29725457\nPMCID: PMC5920433","page":"7506-7514","source":"PubMed","title":"Function of PM2.5 in the pathogenesis of lung cancer and chronic airway inflammatory diseases","volume":"15","author":[{"family":"Li","given":"Ruyi"},{"family":"Zhou","given":"Rui"},{"family":"Zhang","given":"Jiange"}],"issued":{"date-parts":[["2018",5]]}}},{"id":161,"uris":["http://zotero.org/users/local/PQz9MTWE/items/EI3TG32T"],"itemData":{"id":161,"type":"article-journal","abstract":"In 2018, seven million people died prematurely due to exposure to pollution. Polycyclic aromatic hydrocarbons (PAHs) are a significant source of secondary organic aerosol (SOA) in urban areas. We investigated the toxic effects of by-products of naphthalene SOA on lung cells. These by-products were 1,4-naphthoquinone (1,4-NQ), 2-hydroxy-1,4-naphthoquinone (2-OH-NQ), phthalic acid (PA) and phthaldialdehyde (OPA). Two different assessment methodologies were used to monitor the toxic effects: real-time cell analysis (RTCA) and the Holomonitor, a quantitative phase contrast microscope. The chemicals were tested in concentrations of 12.5 to 100 µM for 1,4-NQ and 1 to 10 mM for 2-OH-NQ, PA and OPA. We found that 1,4-NQ is toxic to cells from 25 to 100 µM (EC50: 38.7 µM ± 5.2); 2-OH-NQ is toxic from 1 to 10mM (EC50: 5.3 mM ± 0.6); PA is toxic from 5 to 10 mM (EC50: 5.2 mM ± 0.3) and OPA is toxic from 2.5 to 10 mM (EC50: 4.2 mM ± 0.5). Only 1,4-NQ and OPA affected cell parameters (migration, motility, motility speed and optical volume). Furthermore, 1,4-NQ is the most toxic by-product of naphthalene, with an EC50 value that was one hundred times higher than those of the other compounds. RTCA and Holomonitor analysis showed a complementarity when studying the toxicity induced by chemicals.","container-title":"Life (Basel, Switzerland)","DOI":"10.3390/life11040319","ISSN":"2075-1729","issue":"4","journalAbbreviation":"Life (Basel)","language":"eng","note":"PMID: 33917485\nPMCID: PMC8067501","page":"319","source":"PubMed","title":"Evaluation of the Toxicity on Lung Cells of By-Products Present in Naphthalene Secondary Organic Aerosols","volume":"11","author":[{"family":"Lima de Albuquerque","given":"Yuri"},{"family":"Berger","given":"Emmanuelle"},{"family":"Tomaz","given":"Sophie"},{"family":"George","given":"Christian"},{"family":"Géloën","given":"Alain"}],"issued":{"date-parts":[["2021",4,6]]}}},{"id":810,"uris":["http://zotero.org/users/local/PQz9MTWE/items/DDGSM7PM"],"itemData":{"id":810,"type":"article-journal","abstract":"Several epidemiologic and toxicological studies have commonly viewed ambient fine particulate matter (PM2.5), defined as particles having an aerodynamic diameter of less than 2.5 µm, as a significant potential danger to human health. PM2.5 is mostly absorbed through the respiratory system, where it can infiltrate the lung alveoli and reach the bloodstream. In the respiratory system, reactive oxygen or nitrogen species (ROS, RNS) and oxidative stress stimulate the generation of mediators of pulmonary inflammation and begin or promote numerous illnesses. According to the most recent data, fine particulate matter, or PM2.5, is responsible for nearly 4 million deaths globally from cardiopulmonary illnesses such as heart disease, respiratory infections, chronic lung disease, cancers, preterm births, and other illnesses. There has been increased worry in recent years about the negative impacts of this worldwide danger. The causal associations between PM2.5 and human health, the toxic effects and potential mechanisms of PM2.5, and molecular pathways have been described in this review.","container-title":"International Journal of Environmental Research and Public Health","DOI":"10.3390/ijerph19127511","ISSN":"1661-7827","issue":"12","journalAbbreviation":"Int J Environ Res Public Health","note":"PMID: 35742761\nPMCID: PMC9223652","page":"7511","source":"PubMed Central","title":"Recent Insights into Particulate Matter (PM2.5)-Mediated Toxicity in Humans: An Overview","title-short":"Recent Insights into Particulate Matter (PM2.5)-Mediated Toxicity in Humans","volume":"19","author":[{"family":"Thangavel","given":"Prakash"},{"family":"Park","given":"Duckshin"},{"family":"Lee","given":"Young-Chul"}],"issued":{"date-parts":[["2022",6,19]]}}}],"schema":"https://github.com/citation-style-language/schema/raw/master/csl-citation.json"} </w:instrText>
      </w:r>
      <w:r>
        <w:rPr>
          <w:rFonts w:ascii="Times New Roman" w:hAnsi="Times New Roman" w:cs="Times New Roman"/>
          <w:sz w:val="24"/>
          <w:szCs w:val="24"/>
        </w:rPr>
        <w:fldChar w:fldCharType="separate"/>
      </w:r>
      <w:r w:rsidRPr="001A5FE9">
        <w:rPr>
          <w:rFonts w:ascii="Times New Roman" w:hAnsi="Times New Roman" w:cs="Times New Roman"/>
          <w:sz w:val="24"/>
        </w:rPr>
        <w:t>(Eaves et al., 2020; Khan et al., 2022; Li et al., 2018; Lima de Albuquerque et al., 2021; Thangavel et al., 2022)</w:t>
      </w:r>
      <w:r>
        <w:rPr>
          <w:rFonts w:ascii="Times New Roman" w:hAnsi="Times New Roman" w:cs="Times New Roman"/>
          <w:sz w:val="24"/>
          <w:szCs w:val="24"/>
        </w:rPr>
        <w:fldChar w:fldCharType="end"/>
      </w:r>
      <w:r w:rsidRPr="00355FB8">
        <w:rPr>
          <w:rFonts w:ascii="Times New Roman" w:hAnsi="Times New Roman" w:cs="Times New Roman"/>
          <w:sz w:val="24"/>
          <w:szCs w:val="24"/>
        </w:rPr>
        <w:t>. In the face of these comparatively more</w:t>
      </w:r>
      <w:r>
        <w:rPr>
          <w:rFonts w:ascii="Times New Roman" w:hAnsi="Times New Roman" w:cs="Times New Roman"/>
          <w:sz w:val="24"/>
          <w:szCs w:val="24"/>
        </w:rPr>
        <w:t xml:space="preserve"> </w:t>
      </w:r>
      <w:r w:rsidRPr="00355FB8">
        <w:rPr>
          <w:rFonts w:ascii="Times New Roman" w:hAnsi="Times New Roman" w:cs="Times New Roman"/>
          <w:sz w:val="24"/>
          <w:szCs w:val="24"/>
        </w:rPr>
        <w:t>well</w:t>
      </w:r>
      <w:r>
        <w:rPr>
          <w:rFonts w:ascii="Times New Roman" w:hAnsi="Times New Roman" w:cs="Times New Roman"/>
          <w:sz w:val="24"/>
          <w:szCs w:val="24"/>
        </w:rPr>
        <w:t xml:space="preserve"> </w:t>
      </w:r>
      <w:r w:rsidRPr="00355FB8">
        <w:rPr>
          <w:rFonts w:ascii="Times New Roman" w:hAnsi="Times New Roman" w:cs="Times New Roman"/>
          <w:sz w:val="24"/>
          <w:szCs w:val="24"/>
        </w:rPr>
        <w:t>documented risks, fewer than five percent of airborne chemicals are thoroughly tested, long-term toxicological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{"citationID":"EYodtckp","properties":{"formattedCitation":"(Cao et al., 2025; Li et al., 2011; Thomas et al., 2019)","plainCitation":"(Cao et al., 2025; Li et al., 2011; Thomas et al., 2019)","noteIndex":0},"citationItems":[{"id":312,"uris":["http://zotero.org/users/local/PQz9MTWE/items/43A9LM4L"],"itemData":{"id":312,"type":"article-journal","abstract":"With rapid industrialization and urbanization, the increasing prevalence of air and water pollutants poses a significant threat to public health. Traditional research methods, such as epidemiological studies and in vitro/in vivo experiments, provide valuable biological insights but are often costly, time-consuming, and limited in scale. To address this gap, this study develops a machine learning-based approach to predict the carcinogenicity of pollutants. Using the dataset of carcinogenic and non-carcinogenic molecules that we collected, the pretrained KPGT model trained with molecular fingerprints and descriptors achieved an AUC of 0.83, surpassing traditional machine learning models. To validate this model, common pollutants from air and water sources were analyzed. Further clustering classified these pollutants into five distinct groups. Target prediction analysis identified key genes associated with representative pollutant molecules, such as MAPK1, MTOR, and PTPN11. GO and KEGG pathway analyses, along with survival analysis, revealed potential carcinogenic mechanisms and prognostic implications. Our findings contribute to improved pollution risk assessment and evidence-based environmental policy development, ultimately aiding in the mitigation of pollutant-related health risks.","container-title":"Scientific Reports","DOI":"10.1038/s41598-025-96193-2","ISSN":"2045-2322","issue":"1","journalAbbreviation":"Sci Rep","language":"en","license":"2025 The Author(s)","note":"publisher: Nature Publishing Group","page":"11779","source":"www.nature.com","title":"Computational insights into exploring the potential effects of environmental contaminants on human health","volume":"15","author":[{"family":"Cao","given":"Fuyan"},{"family":"Zhao","given":"Xinyue"},{"family":"Fu","given":"Xueqi"},{"family":"Jin","given":"Yue"}],"issued":{"date-parts":[["2025",4,6]]}}},{"id":310,"uris":["http://zotero.org/users/local/PQz9MTWE/items/JXANHX3V"],"itemData":{"id":310,"type":"article-journal","abstract":"Aerosols alter cloud density and the radiative balance of the atmosphere. This leads to changes in cloud microphysics and atmospheric stability, which can either suppress or foster the development of clouds and precipitation. The net effect is largely unknown, but depends on meteorological conditions and aerosol properties. Here, we examine the long-term impact of aerosols on the vertical development of clouds and rainfall frequencies, using a 10-year dataset of aerosol, cloud and meteorological variables collected in the Southern Great Plains in the United States. We show that cloud-top height and thickness increase with aerosol concentration measured near the ground in mixed-phase clouds—which contain both liquid water and ice—that have a warm, low base. We attribute the effect, which is most significant in summer, to an aerosol-induced invigoration of upward winds. In contrast, we find no change in cloud-top height and precipitation with aerosol concentration in clouds with no ice or cool bases. We further show that precipitation frequency and rain rate are altered by aerosols. Rain increases with aerosol concentration in deep clouds that have a high liquid-water content, but declines in clouds that have a low liquid-water content. Simulations using a cloud-resolving model confirm these observations. Our findings provide unprecedented insights of the long-term net impacts of aerosols on clouds and precipitation.","container-title":"Nature Geoscience","DOI":"10.1038/ngeo1313","ISSN":"1752-0908","issue":"12","journalAbbreviation":"Nature Geosci","language":"en","license":"2011 Springer Nature Limited","note":"publisher: Nature Publishing Group","page":"888-894","source":"www.nature.com","title":"Long-term impacts of aerosols on the vertical development of clouds and precipitation","volume":"4","author":[{"family":"Li","given":"Zhanqing"},{"family":"Niu","given":"Feng"},{"family":"Fan","given":"Jiwen"},{"family":"Liu","given":"Yangang"},{"family":"Rosenfeld","given":"Daniel"},{"family":"Ding","given":"Yanni"}],"issued":{"date-parts":[["2011",12]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CC6C6A">
        <w:rPr>
          <w:rFonts w:ascii="Times New Roman" w:hAnsi="Times New Roman" w:cs="Times New Roman"/>
          <w:sz w:val="24"/>
        </w:rPr>
        <w:t>(Cao et al., 2025; Li et al., 2011; Thomas et al., 2019)</w:t>
      </w:r>
      <w:r>
        <w:rPr>
          <w:rFonts w:ascii="Times New Roman" w:hAnsi="Times New Roman" w:cs="Times New Roman"/>
          <w:sz w:val="24"/>
          <w:szCs w:val="24"/>
        </w:rPr>
        <w:fldChar w:fldCharType="end"/>
      </w:r>
      <w:r w:rsidRPr="00355FB8">
        <w:rPr>
          <w:rFonts w:ascii="Times New Roman" w:hAnsi="Times New Roman" w:cs="Times New Roman"/>
          <w:sz w:val="24"/>
          <w:szCs w:val="24"/>
        </w:rPr>
        <w:t>. Inadequate toxicological data hinder the ability of public health agencies and regulatory agencies to respond appropriately to emerging environmental risks.</w:t>
      </w:r>
    </w:p>
    <w:p w14:paraId="3F8F1F33" w14:textId="77777777" w:rsidR="009F3870" w:rsidRPr="00032F89" w:rsidRDefault="009F3870" w:rsidP="009F3870">
      <w:pPr>
        <w:spacing w:after="0"/>
        <w:rPr>
          <w:rFonts w:ascii="Times New Roman" w:hAnsi="Times New Roman" w:cs="Times New Roman"/>
          <w:sz w:val="24"/>
          <w:szCs w:val="24"/>
        </w:rPr>
      </w:pPr>
    </w:p>
    <w:p w14:paraId="70ACBA9F" w14:textId="77777777" w:rsidR="009F3870" w:rsidRPr="0061435D" w:rsidRDefault="009F3870" w:rsidP="009F3870">
      <w:pPr>
        <w:spacing w:after="0"/>
        <w:jc w:val="both"/>
        <w:rPr>
          <w:rFonts w:ascii="Times New Roman" w:hAnsi="Times New Roman" w:cs="Times New Roman"/>
          <w:b/>
          <w:bCs/>
          <w:sz w:val="28"/>
          <w:szCs w:val="28"/>
        </w:rPr>
      </w:pPr>
      <w:r w:rsidRPr="0061435D">
        <w:rPr>
          <w:rFonts w:ascii="Times New Roman" w:hAnsi="Times New Roman" w:cs="Times New Roman"/>
          <w:b/>
          <w:bCs/>
          <w:sz w:val="28"/>
          <w:szCs w:val="28"/>
        </w:rPr>
        <w:t>1.2 p53 Pathway and Cancer</w:t>
      </w:r>
    </w:p>
    <w:p w14:paraId="2D805076" w14:textId="77777777" w:rsidR="009F3870" w:rsidRPr="0061435D" w:rsidRDefault="009F3870" w:rsidP="009F3870">
      <w:pPr>
        <w:spacing w:after="0"/>
        <w:jc w:val="both"/>
        <w:rPr>
          <w:rFonts w:ascii="Times New Roman" w:hAnsi="Times New Roman" w:cs="Times New Roman"/>
          <w:b/>
          <w:bCs/>
          <w:sz w:val="28"/>
          <w:szCs w:val="28"/>
        </w:rPr>
      </w:pPr>
    </w:p>
    <w:p w14:paraId="2E9B8B85" w14:textId="51B21BBD"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 xml:space="preserve">Cancer results from step-wise accumulation of mutations inactivating the body's defence mechanisms, permitting unlimited </w:t>
      </w:r>
      <w:r w:rsidR="00D128FE">
        <w:rPr>
          <w:rFonts w:ascii="Times New Roman" w:hAnsi="Times New Roman" w:cs="Times New Roman"/>
          <w:sz w:val="24"/>
          <w:szCs w:val="24"/>
        </w:rPr>
        <w:t>growth</w:t>
      </w:r>
      <w:r w:rsidRPr="0061435D">
        <w:rPr>
          <w:rFonts w:ascii="Times New Roman" w:hAnsi="Times New Roman" w:cs="Times New Roman"/>
          <w:sz w:val="24"/>
          <w:szCs w:val="24"/>
        </w:rPr>
        <w:t>, immune evasion, and genomic injury-induced survival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{"citationID":"RqBuC1Yf","properties":{"formattedCitation":"(Hanahan and Weinberg, 2011)","plainCitation":"(Hanahan and Weinberg, 2011)","noteIndex":0},"citationItems":[{"id":624,"uris":["http://zotero.org/users/local/PQz9MTWE/items/9WT8FPR7"],"itemData":{"id":624,"type":"article-journal","container-title":"Cell","DOI":"10.1016/j.cell.2011.02.013","ISSN":"0092-8674, 1097-4172","issue":"5","journalAbbreviation":"Cell","language":"English","note":"publisher: Elsevier\nPMID: 21376230","page":"646-674","source":"www.cell.com","title":"Hallmarks of Cancer: The Next Generation","title-short":"Hallmarks of Cancer","volume":"144","author":[{"family":"Hanahan","given":"Douglas"},{"family":"Weinberg","given":"Robert A."}],"issued":{"date-parts":[["2011",3,4]]}}}],"schema":"https://github.com/citation-style-language/schema/raw/master/csl-citation.json"} </w:instrText>
      </w:r>
      <w:r>
        <w:rPr>
          <w:rFonts w:ascii="Times New Roman" w:hAnsi="Times New Roman" w:cs="Times New Roman"/>
          <w:sz w:val="24"/>
          <w:szCs w:val="24"/>
        </w:rPr>
        <w:fldChar w:fldCharType="separate"/>
      </w:r>
      <w:r w:rsidRPr="00305596">
        <w:rPr>
          <w:rFonts w:ascii="Times New Roman" w:hAnsi="Times New Roman" w:cs="Times New Roman"/>
          <w:sz w:val="24"/>
        </w:rPr>
        <w:t>(Hanahan and Weinberg, 2011)</w:t>
      </w:r>
      <w:r>
        <w:rPr>
          <w:rFonts w:ascii="Times New Roman" w:hAnsi="Times New Roman" w:cs="Times New Roman"/>
          <w:sz w:val="24"/>
          <w:szCs w:val="24"/>
        </w:rPr>
        <w:fldChar w:fldCharType="end"/>
      </w:r>
      <w:r w:rsidRPr="0061435D">
        <w:rPr>
          <w:rFonts w:ascii="Times New Roman" w:hAnsi="Times New Roman" w:cs="Times New Roman"/>
          <w:sz w:val="24"/>
          <w:szCs w:val="24"/>
        </w:rPr>
        <w:t xml:space="preserve">. Central to such defences is the p53 protein, whose gene product is TP53, a tumour suppressor transcription factor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{"citationID":"yylSCRlx","properties":{"formattedCitation":"(Lane, 1992; Levine, 1997)","plainCitation":"(Lane, 1992; Levine, 1997)","noteIndex":0},"citationItems":[{"id":627,"uris":["http://zotero.org/users/local/PQz9MTWE/items/A6NIJ2V3"],"itemData":{"id":627,"type":"article-journal","container-title":"Nature","DOI":"10.1038/358015a0","ISSN":"1476-4687","issue":"6381","language":"en","license":"1992 Springer Nature Limited","note":"publisher: Nature Publishing Group","page":"15-16","source":"www.nature.com","title":"p53, guardian of the genome","volume":"358","author":[{"family":"Lane","given":"D. P."}],"issued":{"date-parts":[["1992",7]]}}},{"id":546,"uris":["http://zotero.org/users/local/PQz9MTWE/items/WVYD2EKK"],"itemData":{"id":546,"type":"article-journal","language":"en","source":"Zotero","title":"p53, the Cellular Gatekeeper Review for Growth and Division","author":[{"family":"Levine","given":"Arnold J"}],"issued":{"date-parts":[["1997"]]}}}],"schema":"https://github.com/citation-style-language/schema/raw/master/csl-citation.json"} </w:instrText>
      </w:r>
      <w:r>
        <w:rPr>
          <w:rFonts w:ascii="Times New Roman" w:hAnsi="Times New Roman" w:cs="Times New Roman"/>
          <w:sz w:val="24"/>
          <w:szCs w:val="24"/>
        </w:rPr>
        <w:fldChar w:fldCharType="separate"/>
      </w:r>
      <w:r w:rsidRPr="00305596">
        <w:rPr>
          <w:rFonts w:ascii="Times New Roman" w:hAnsi="Times New Roman" w:cs="Times New Roman"/>
          <w:sz w:val="24"/>
        </w:rPr>
        <w:t>(Lane, 1992; Levine, 1997)</w:t>
      </w:r>
      <w:r>
        <w:rPr>
          <w:rFonts w:ascii="Times New Roman" w:hAnsi="Times New Roman" w:cs="Times New Roman"/>
          <w:sz w:val="24"/>
          <w:szCs w:val="24"/>
        </w:rPr>
        <w:fldChar w:fldCharType="end"/>
      </w:r>
      <w:r w:rsidRPr="0061435D">
        <w:rPr>
          <w:rFonts w:ascii="Times New Roman" w:hAnsi="Times New Roman" w:cs="Times New Roman"/>
          <w:sz w:val="24"/>
          <w:szCs w:val="24"/>
        </w:rPr>
        <w:t>.</w:t>
      </w:r>
    </w:p>
    <w:p w14:paraId="20444030" w14:textId="77777777" w:rsidR="009F3870" w:rsidRPr="0061435D" w:rsidRDefault="009F3870" w:rsidP="009F3870">
      <w:pPr>
        <w:spacing w:after="0"/>
        <w:jc w:val="both"/>
        <w:rPr>
          <w:rFonts w:ascii="Times New Roman" w:hAnsi="Times New Roman" w:cs="Times New Roman"/>
          <w:sz w:val="24"/>
          <w:szCs w:val="24"/>
        </w:rPr>
      </w:pPr>
    </w:p>
    <w:p w14:paraId="755F473A" w14:textId="77777777"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In normal conditions, p53 remains low. When there is DNA damage or cell stress, however, p53 is rapidly activated and can halt the cell cycle to facilitate repair, initiate DNA repair processes, or induce apoptosis (programmed cell death) to eliminate irreparably damaged cells. These functions, as shown in Figure 1.2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{"citationID":"zVS7uLVh","properties":{"formattedCitation":"(Kastenhuber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(Kastenhuber and Lowe, 2017)</w:t>
      </w:r>
      <w:r>
        <w:rPr>
          <w:rFonts w:ascii="Times New Roman" w:hAnsi="Times New Roman" w:cs="Times New Roman"/>
          <w:sz w:val="24"/>
          <w:szCs w:val="24"/>
        </w:rPr>
        <w:fldChar w:fldCharType="end"/>
      </w:r>
      <w:r w:rsidRPr="0061435D">
        <w:rPr>
          <w:rFonts w:ascii="Times New Roman" w:hAnsi="Times New Roman" w:cs="Times New Roman"/>
          <w:sz w:val="24"/>
          <w:szCs w:val="24"/>
        </w:rPr>
        <w:t>, depict the "guardian of the genome" role of p53 in guiding cells back to stability or safe removal.</w:t>
      </w:r>
    </w:p>
    <w:p w14:paraId="633C7B72" w14:textId="77777777" w:rsidR="009F3870" w:rsidRPr="0061435D" w:rsidRDefault="009F3870" w:rsidP="009F3870">
      <w:pPr>
        <w:spacing w:after="0"/>
        <w:jc w:val="both"/>
        <w:rPr>
          <w:rFonts w:ascii="Times New Roman" w:hAnsi="Times New Roman" w:cs="Times New Roman"/>
          <w:sz w:val="24"/>
          <w:szCs w:val="24"/>
        </w:rPr>
      </w:pPr>
    </w:p>
    <w:p w14:paraId="2258BC87" w14:textId="77777777" w:rsidR="009F3870" w:rsidRPr="00956DD3" w:rsidRDefault="009F3870" w:rsidP="009F3870">
      <w:pPr>
        <w:spacing w:after="0"/>
        <w:jc w:val="center"/>
        <w:rPr>
          <w:rFonts w:ascii="Times New Roman" w:hAnsi="Times New Roman" w:cs="Times New Roman"/>
        </w:rPr>
      </w:pPr>
      <w:r w:rsidRPr="00956DD3">
        <w:rPr>
          <w:noProof/>
        </w:rPr>
        <w:lastRenderedPageBreak/>
        <w:drawing>
          <wp:inline distT="0" distB="0" distL="0" distR="0" wp14:anchorId="5F0D3BE0" wp14:editId="542905C1">
            <wp:extent cx="5455920" cy="5455920"/>
            <wp:effectExtent l="0" t="0" r="0" b="0"/>
            <wp:docPr id="596630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920" cy="5455920"/>
                    </a:xfrm>
                    <a:prstGeom prst="rect">
                      <a:avLst/>
                    </a:prstGeom>
                    <a:noFill/>
                    <a:ln>
                      <a:noFill/>
                    </a:ln>
                  </pic:spPr>
                </pic:pic>
              </a:graphicData>
            </a:graphic>
          </wp:inline>
        </w:drawing>
      </w:r>
    </w:p>
    <w:p w14:paraId="3DC8B1C7" w14:textId="77777777" w:rsidR="00346E7C" w:rsidRDefault="009F3870" w:rsidP="00B50DBE">
      <w:pPr>
        <w:spacing w:after="0"/>
        <w:jc w:val="center"/>
        <w:rPr>
          <w:rFonts w:ascii="Times New Roman" w:hAnsi="Times New Roman" w:cs="Times New Roman"/>
        </w:rPr>
      </w:pPr>
      <w:r w:rsidRPr="00956DD3">
        <w:rPr>
          <w:rFonts w:ascii="Times New Roman" w:hAnsi="Times New Roman" w:cs="Times New Roman"/>
          <w:b/>
          <w:bCs/>
        </w:rPr>
        <w:t>Figure 1.</w:t>
      </w:r>
      <w:r>
        <w:rPr>
          <w:rFonts w:ascii="Times New Roman" w:hAnsi="Times New Roman" w:cs="Times New Roman"/>
          <w:b/>
          <w:bCs/>
        </w:rPr>
        <w:t>2.</w:t>
      </w:r>
      <w:r w:rsidRPr="00956DD3">
        <w:rPr>
          <w:rFonts w:ascii="Times New Roman" w:hAnsi="Times New Roman" w:cs="Times New Roman"/>
        </w:rPr>
        <w:t xml:space="preserve"> </w:t>
      </w:r>
      <w:r w:rsidR="00B50DBE" w:rsidRPr="00B50DBE">
        <w:rPr>
          <w:rFonts w:ascii="Times New Roman" w:hAnsi="Times New Roman" w:cs="Times New Roman"/>
        </w:rPr>
        <w:t>The p53 network.</w:t>
      </w:r>
      <w:r w:rsidR="00B50DBE">
        <w:rPr>
          <w:rFonts w:ascii="Times New Roman" w:hAnsi="Times New Roman" w:cs="Times New Roman"/>
        </w:rPr>
        <w:t xml:space="preserve"> </w:t>
      </w:r>
    </w:p>
    <w:p w14:paraId="4145410A" w14:textId="59B632D3" w:rsidR="009F3870" w:rsidRPr="00956DD3" w:rsidRDefault="00B50DBE" w:rsidP="00B50DBE">
      <w:pPr>
        <w:spacing w:after="0"/>
        <w:jc w:val="center"/>
        <w:rPr>
          <w:rFonts w:ascii="Times New Roman" w:hAnsi="Times New Roman" w:cs="Times New Roman"/>
        </w:rPr>
      </w:pPr>
      <w:r w:rsidRPr="00B50DBE">
        <w:rPr>
          <w:rFonts w:ascii="Times New Roman" w:hAnsi="Times New Roman" w:cs="Times New Roman"/>
        </w:rPr>
        <w:t>p53 acts like a master switch: it receives many signals (blue lines) and, in response, turns many genes on or off (red lines), which then talk to each other (</w:t>
      </w:r>
      <w:proofErr w:type="spellStart"/>
      <w:r w:rsidRPr="00B50DBE">
        <w:rPr>
          <w:rFonts w:ascii="Times New Roman" w:hAnsi="Times New Roman" w:cs="Times New Roman"/>
        </w:rPr>
        <w:t>gray</w:t>
      </w:r>
      <w:proofErr w:type="spellEnd"/>
      <w:r w:rsidRPr="00B50DBE">
        <w:rPr>
          <w:rFonts w:ascii="Times New Roman" w:hAnsi="Times New Roman" w:cs="Times New Roman"/>
        </w:rPr>
        <w:t xml:space="preserve"> lines). Arrows represent "activates," T-bars represent "blocks," and solid dots represent "modifies." </w:t>
      </w:r>
      <w:r w:rsidR="009F3870">
        <w:rPr>
          <w:rFonts w:ascii="Times New Roman" w:hAnsi="Times New Roman" w:cs="Times New Roman"/>
        </w:rPr>
        <w:fldChar w:fldCharType="begin"/>
      </w:r>
      <w:r w:rsidR="009F3870">
        <w:rPr>
          <w:rFonts w:ascii="Times New Roman" w:hAnsi="Times New Roman" w:cs="Times New Roman"/>
        </w:rPr>
        <w:instrText xml:space="preserve"> ADDIN ZOTERO_ITEM CSL_CITATION {"citationID":"6SYmGB2O","properties":{"formattedCitation":"(Kastenhuber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sidR="009F3870">
        <w:rPr>
          <w:rFonts w:ascii="Times New Roman" w:hAnsi="Times New Roman" w:cs="Times New Roman"/>
        </w:rPr>
        <w:fldChar w:fldCharType="separate"/>
      </w:r>
      <w:r w:rsidR="009F3870" w:rsidRPr="00BA1C3D">
        <w:rPr>
          <w:rFonts w:ascii="Times New Roman" w:hAnsi="Times New Roman" w:cs="Times New Roman"/>
        </w:rPr>
        <w:t>(Kastenhuber and Lowe, 2017)</w:t>
      </w:r>
      <w:r w:rsidR="009F3870">
        <w:rPr>
          <w:rFonts w:ascii="Times New Roman" w:hAnsi="Times New Roman" w:cs="Times New Roman"/>
        </w:rPr>
        <w:fldChar w:fldCharType="end"/>
      </w:r>
      <w:r w:rsidR="009F3870" w:rsidRPr="00956DD3">
        <w:rPr>
          <w:rFonts w:ascii="Times New Roman" w:hAnsi="Times New Roman" w:cs="Times New Roman"/>
        </w:rPr>
        <w:t>.</w:t>
      </w:r>
    </w:p>
    <w:p w14:paraId="18DCE6BD" w14:textId="77777777" w:rsidR="009F3870" w:rsidRPr="0061435D" w:rsidRDefault="009F3870" w:rsidP="009F3870">
      <w:pPr>
        <w:spacing w:after="0"/>
        <w:jc w:val="both"/>
        <w:rPr>
          <w:rFonts w:ascii="Times New Roman" w:hAnsi="Times New Roman" w:cs="Times New Roman"/>
          <w:sz w:val="24"/>
          <w:szCs w:val="24"/>
        </w:rPr>
      </w:pPr>
    </w:p>
    <w:p w14:paraId="6D8CACC9" w14:textId="0B88A677" w:rsidR="009F3870" w:rsidRPr="0061435D" w:rsidRDefault="009F3870" w:rsidP="009F3870">
      <w:pPr>
        <w:spacing w:after="0"/>
        <w:jc w:val="both"/>
        <w:rPr>
          <w:rFonts w:ascii="Times New Roman" w:hAnsi="Times New Roman" w:cs="Times New Roman"/>
        </w:rPr>
      </w:pPr>
      <w:r w:rsidRPr="0061435D">
        <w:rPr>
          <w:rFonts w:ascii="Times New Roman" w:hAnsi="Times New Roman" w:cs="Times New Roman"/>
          <w:sz w:val="24"/>
          <w:szCs w:val="24"/>
        </w:rPr>
        <w:t xml:space="preserve">Because of its central position, TP53 mutations represent among the most common human cancer alterations in more than half of all cases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{"citationID":"ophluVJY","properties":{"formattedCitation":"(Kastenhuber and Lowe, 2017; Olivier et al., 2010)","plainCitation":"(Kastenhuber and Lowe, 2017; Olivier et al., 2010)","noteIndex":0},"citationItems":[{"id":629,"uris":["http://zotero.org/users/local/PQz9MTWE/items/E7AQ9Z6B"],"itemData":{"id":629,"type":"article-journal","container-title":"Cell","DOI":"10.1016/j.cell.2017.08.028","ISSN":"0092-8674,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W."}],"issued":{"date-parts":[["2017",9,7]]}}},{"id":549,"uris":["http://zotero.org/users/local/PQz9MTWE/items/55DT66IR"],"itemData":{"id":549,"type":"article-journal","abstract":"Somatic mutations in the TP53 gene are one of the most frequent alterations in human cancers, and germline mutations are the underlying cause of Li-Fraumeni syndrome, which predisposes to a wide spectrum of early-onset cancers. Most mutations are single-base substitutions distributed throughout the coding sequence. Their diverse types and positions may inform on the nature of mutagenic mechanisms involved in cancer etiology. TP53 mutations are also potential prognostic and predictive markers, as well as targets for pharmacological intervention. All mutations found in human cancers are compiled in the IARC TP53 Database (http://www-p53.iarc.fr/). A human TP53 knockin mouse model (Hupki mouse) provides an experimental model to study mutagenesis in the context of a human TP53 sequence. Here, we summarize current knowledge on TP53 gene variations observed in human cancers and populations, and current clinical applications derived from this knowledge.","container-title":"Cold Spring Harbor Perspectives in Biology","DOI":"10.1101/cshperspect.a001008","ISSN":", 1943-0264","issue":"1","journalAbbreviation":"Cold Spring Harb Perspect Biol","language":"en","note":"Company: Cold Spring Harbor Laboratory Press\nDistributor: Cold Spring Harbor Laboratory Press\nInstitution: Cold Spring Harbor Laboratory Press\nLabel: Cold Spring Harbor Laboratory Press\npublisher: Cold Spring Harbor Lab\nPMID: 20182602","page":"a001008","source":"cshperspectives.cshlp.org","title":"TP53 Mutations in Human Cancers: Origins, Consequences, and Clinical Use","title-short":"TP53 Mutations in Human Cancers","volume":"2","author":[{"family":"Olivier","given":"Magali"},{"family":"Hollstein","given":"Monica"},{"family":"Hainaut","given":"Pierre"}],"issued":{"date-parts":[["2010",1,1]]}}}],"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(Kastenhuber and Lowe, 2017; Olivier et al., 2010)</w:t>
      </w:r>
      <w:r>
        <w:rPr>
          <w:rFonts w:ascii="Times New Roman" w:hAnsi="Times New Roman" w:cs="Times New Roman"/>
          <w:sz w:val="24"/>
          <w:szCs w:val="24"/>
        </w:rPr>
        <w:fldChar w:fldCharType="end"/>
      </w:r>
      <w:r w:rsidRPr="0061435D">
        <w:rPr>
          <w:rFonts w:ascii="Times New Roman" w:hAnsi="Times New Roman" w:cs="Times New Roman"/>
          <w:sz w:val="24"/>
          <w:szCs w:val="24"/>
        </w:rPr>
        <w:t xml:space="preserve">. Significantly, environmental carcinogens such as </w:t>
      </w:r>
      <w:r w:rsidR="00A11B92">
        <w:rPr>
          <w:rFonts w:ascii="Times New Roman" w:hAnsi="Times New Roman" w:cs="Times New Roman"/>
          <w:sz w:val="24"/>
          <w:szCs w:val="24"/>
        </w:rPr>
        <w:t>harmful</w:t>
      </w:r>
      <w:r w:rsidRPr="0061435D">
        <w:rPr>
          <w:rFonts w:ascii="Times New Roman" w:hAnsi="Times New Roman" w:cs="Times New Roman"/>
          <w:sz w:val="24"/>
          <w:szCs w:val="24"/>
        </w:rPr>
        <w:t xml:space="preserve"> chemicals in dirty air have the ability to disrupt this pathway, either through inducing DNA damage or influencing p53 function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{"citationID":"Z0IwsIGt","properties":{"formattedCitation":"(Perwez Hussain and Harris, 2007; Zeron-Medina et al., 2013)","plainCitation":"(Perwez Hussain and Harris, 2007; Zeron-Medina et al., 2013)","noteIndex":0},"citationItems":[{"id":634,"uris":["http://zotero.org/users/local/PQz9MTWE/items/YZ9LBHWT"],"itemData":{"id":634,"type":"article-journal","abstract":"Infection and chronic inflammation contribute to about 1 in 4 of all cancer cases. Mediators of the inflammatory response, e.g., cytokines, free radicals, prostaglandins and growth factors, can induce genetic and epigenetic changes including point mutations in tumor suppressor genes, DNA methylation and post-translational modifications, causing alterations in critical pathways responsible for maintaining the normal cellular homeostasis and leading to the development and progression of cancer. Recent discovery of an interaction between microRNAs and innate immunity during inflammation has further strengthened the association between inflammation and cancer. © 2007 Wiley-Liss, Inc.","container-title":"International Journal of Cancer","DOI":"10.1002/ijc.23173","ISSN":"1097-0215","issue":"11","language":"en","license":"Copyright © 2007 Wiley-Liss, Inc.","note":"_eprint: https://onlinelibrary.wiley.com/doi/pdf/10.1002/ijc.23173","page":"2373-2380","source":"Wiley Online Library","title":"Inflammation and cancer: An ancient link with novel potentials","title-short":"Inflammation and cancer","volume":"121","author":[{"family":"Perwez Hussain","given":"S."},{"family":"Harris","given":"Curtis C."}],"issued":{"date-parts":[["2007"]]}}},{"id":637,"uris":["http://zotero.org/users/local/PQz9MTWE/items/WHQY72LS"],"itemData":{"id":637,"type":"article-journal","container-title":"Cell","DOI":"10.1016/j.cell.2013.09.017","ISSN":"0092-8674, 1097-4172","issue":"2","journalAbbreviation":"Cell","language":"English","note":"publisher: Elsevier\nPMID: 24120139","page":"410-422","source":"www.cell.com","title":"A Polymorphic p53 Response Element in KIT Ligand Influences Cancer Risk and Has Undergone Natural Selection","volume":"155","author":[{"family":"Zeron-Medina","given":"Jorge"},{"family":"Wang","given":"Xuting"},{"family":"Repapi","given":"Emmanouela"},{"family":"Campbell","given":"Michelle R."},{"family":"Su","given":"Dan"},{"family":"Castro-Giner","given":"Francesc"},{"family":"Davies","given":"Benjamin"},{"family":"Peterse","given":"Elisabeth F. P."},{"family":"Sacilotto","given":"Natalia"},{"family":"Walker","given":"Graeme J."},{"family":"Terzian","given":"Tamara"},{"family":"Tomlinson","given":"Ian P."},{"family":"Box","given":"Neil F."},{"family":"Meinshausen","given":"Nicolai"},{"family":"De Val","given":"Sarah"},{"family":"Bell","given":"Douglas A."},{"family":"Bond","given":"Gareth L."}],"issued":{"date-parts":[["2013",10,10]]}}}],"schema":"https://github.com/citation-style-language/schema/raw/master/csl-citation.json"}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(Perwez Hussain and Harris, 2007; Zeron-Medina et al., 2013)</w:t>
      </w:r>
      <w:r>
        <w:rPr>
          <w:rFonts w:ascii="Times New Roman" w:hAnsi="Times New Roman" w:cs="Times New Roman"/>
          <w:sz w:val="24"/>
          <w:szCs w:val="24"/>
        </w:rPr>
        <w:fldChar w:fldCharType="end"/>
      </w:r>
      <w:r w:rsidRPr="0061435D">
        <w:rPr>
          <w:rFonts w:ascii="Times New Roman" w:hAnsi="Times New Roman" w:cs="Times New Roman"/>
          <w:sz w:val="24"/>
          <w:szCs w:val="24"/>
        </w:rPr>
        <w:t>. This makes p53 not only a central tumour suppressor but a mechanistic biomarker for the identification of carcinogenic exposures, for example, from air pollutants.</w:t>
      </w:r>
    </w:p>
    <w:p w14:paraId="48CD89D7" w14:textId="77777777" w:rsidR="009F3870" w:rsidRPr="00032F89" w:rsidRDefault="009F3870" w:rsidP="009F3870">
      <w:pPr>
        <w:spacing w:after="0"/>
        <w:rPr>
          <w:rFonts w:ascii="Times New Roman" w:hAnsi="Times New Roman" w:cs="Times New Roman"/>
          <w:sz w:val="24"/>
          <w:szCs w:val="24"/>
        </w:rPr>
      </w:pPr>
    </w:p>
    <w:p w14:paraId="102DC976" w14:textId="77777777" w:rsidR="009F3870" w:rsidRPr="00996BBF" w:rsidRDefault="009F3870" w:rsidP="009F3870">
      <w:pPr>
        <w:spacing w:after="0"/>
        <w:jc w:val="both"/>
        <w:rPr>
          <w:rFonts w:ascii="Times New Roman" w:hAnsi="Times New Roman" w:cs="Times New Roman"/>
          <w:b/>
          <w:bCs/>
          <w:sz w:val="28"/>
          <w:szCs w:val="28"/>
        </w:rPr>
      </w:pPr>
      <w:r w:rsidRPr="00996BBF">
        <w:rPr>
          <w:rFonts w:ascii="Times New Roman" w:hAnsi="Times New Roman" w:cs="Times New Roman"/>
          <w:b/>
          <w:bCs/>
          <w:sz w:val="28"/>
          <w:szCs w:val="28"/>
        </w:rPr>
        <w:t>1.3 Traditional and Computational Approaches to Chemical Toxicity Evaluation</w:t>
      </w:r>
    </w:p>
    <w:p w14:paraId="47966ADD" w14:textId="77777777" w:rsidR="009F3870" w:rsidRPr="00996BBF" w:rsidRDefault="009F3870" w:rsidP="009F3870">
      <w:pPr>
        <w:spacing w:after="0"/>
        <w:jc w:val="both"/>
        <w:rPr>
          <w:rFonts w:ascii="Times New Roman" w:hAnsi="Times New Roman" w:cs="Times New Roman"/>
          <w:b/>
          <w:bCs/>
          <w:sz w:val="28"/>
          <w:szCs w:val="28"/>
        </w:rPr>
      </w:pPr>
    </w:p>
    <w:p w14:paraId="708E868F"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lastRenderedPageBreak/>
        <w:t xml:space="preserve">Animal experiments have been the gold standard method of carcinogenicity evaluation with rat and mouse chronic bioassays as the classical legacy to note tumour growth following chemical exposure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{"citationID":"vgsz9quM","properties":{"formattedCitation":"(Krewski et al., 2010; Zeiger, 2019)","plainCitation":"(Krewski et al., 2010; Zeiger, 2019)","noteIndex":0},"citationItems":[{"id":554,"uris":["http://zotero.org/users/local/PQz9MTWE/items/GHNR244B"],"itemData":{"id":554,"type":"article-journal","abstract":"With the release of the landmark report Toxicity Testing in the 21st Century: A Vision and a Strategy, the U.S. National Academy of Sciences, in 2007, precipitated a major change in the way toxicity testing is conducted. It envisions increased efficiency in toxicity testing and decreased animal usage by transitioning from current expensive and lengthy in vivo testing with qualitative endpoints to in vitro toxicity pathway assays on human cells or cell lines using robotic high-throughput screening with mechanistic quantitative parameters. Risk assessment in the exposed human population would focus on avoiding significant perturbations in these toxicity pathways. Computational systems biology models would be implemented to determine the dose-response models of perturbations of pathway function. Extrapolation of in vitro results to in vivo human blood and tissue concentrations would be based on pharmacokinetic models for the given exposure condition. This practice would enhance human relevance of test results, and would cover several test agents, compared to traditional toxicological testing strategies. As all the tools that are necessary to implement the vision are currently available or in an advanced stage of development, the key prerequisites to achieving this paradigm shift are a commitment to change in the scientific community, which could be facilitated by a broad discussion of the vision, and obtaining necessary resources to enhance current knowledge of pathway perturbations and pathway assays in humans and to implement computational systems biology models. Implementation of these strategies would result in a new toxicity testing paradigm firmly based on human biology.","container-title":"Journal of toxicology and environmental health. Part B, Critical reviews","DOI":"10.1080/10937404.2010.483176","ISSN":"1093-7404","issue":"0","journalAbbreviation":"J Toxicol Environ Health B Crit Rev","note":"PMID: 20574894\nPMCID: PMC4410863","page":"51-138","source":"PubMed Central","title":"TOXICITY TESTING IN THE 21ST CENTURY: A VISION AND A STRATEGY","title-short":"TOXICITY TESTING IN THE 21ST CENTURY","volume":"13","author":[{"family":"Krewski","given":"Daniel"},{"family":"Acosta","given":"Daniel"},{"family":"Andersen","given":"Melvin"},{"family":"Anderson","given":"Henry"},{"family":"Bailar","given":"John C."},{"family":"Boekelheide","given":"Kim"},{"family":"Brent","given":"Robert"},{"family":"Charnley","given":"Gail"},{"family":"Cheung","given":"Vivian G."},{"family":"Green","given":"Sidney"},{"family":"Kelsey","given":"Karl T."},{"family":"Kerkvliet","given":"Nancy I."},{"family":"Li","given":"Abby A."},{"family":"McCray","given":"Lawrence"},{"family":"Meyer","given":"Otto"},{"family":"Patterson","given":"Reid D."},{"family":"Pennie","given":"William"},{"family":"Scala","given":"Robert A."},{"family":"Solomon","given":"Gina M."},{"family":"Stephens","given":"Martin"},{"family":"Yager","given":"James"},{"family":"Zeise","given":"Lauren"}],"issued":{"date-parts":[["2010",2]]}}},{"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(Krewski et al., 2010; Zeiger,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96BBF">
        <w:rPr>
          <w:rFonts w:ascii="Times New Roman" w:hAnsi="Times New Roman" w:cs="Times New Roman"/>
          <w:sz w:val="24"/>
          <w:szCs w:val="24"/>
        </w:rPr>
        <w:t>While these tests have provided valuable reference data, they are time- and resource-demanding, costly, and pose ethical concerns due to high animal use. Most importantly, animal models generally will not be capable of simulating human-restricted metabolic pathways and genetic vulnerabilities, hence limiting their applicability for human health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{"citationID":"gEBTMMHm","properties":{"formattedCitation":"(Basketter et al., 2012)","plainCitation":"(Basketter et al., 2012)","noteIndex":0},"citationItems":[{"id":646,"uris":["http://zotero.org/users/local/PQz9MTWE/items/GJH3TQFK"],"itemData":{"id":646,"type":"article-journal","abstract":"Systemic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(Basketter et al., 2012)</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26CD19D5" w14:textId="77777777" w:rsidR="009F3870" w:rsidRPr="00996BBF" w:rsidRDefault="009F3870" w:rsidP="009F3870">
      <w:pPr>
        <w:spacing w:after="0"/>
        <w:jc w:val="both"/>
        <w:rPr>
          <w:rFonts w:ascii="Times New Roman" w:hAnsi="Times New Roman" w:cs="Times New Roman"/>
          <w:sz w:val="24"/>
          <w:szCs w:val="24"/>
        </w:rPr>
      </w:pPr>
    </w:p>
    <w:p w14:paraId="2564B9DA"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t xml:space="preserve">Classic testing also tests chemicals in isolation, while humans are exposed to complex mixtures. Consequently, vast regions of chemical space remain untested and underspecified. The U.S. Environmental Protection Agency (EPA) </w:t>
      </w:r>
      <w:proofErr w:type="spellStart"/>
      <w:r w:rsidRPr="00996BBF">
        <w:rPr>
          <w:rFonts w:ascii="Times New Roman" w:hAnsi="Times New Roman" w:cs="Times New Roman"/>
          <w:sz w:val="24"/>
          <w:szCs w:val="24"/>
        </w:rPr>
        <w:t>CompTox</w:t>
      </w:r>
      <w:proofErr w:type="spellEnd"/>
      <w:r w:rsidRPr="00996BBF">
        <w:rPr>
          <w:rFonts w:ascii="Times New Roman" w:hAnsi="Times New Roman" w:cs="Times New Roman"/>
          <w:sz w:val="24"/>
          <w:szCs w:val="24"/>
        </w:rPr>
        <w:t xml:space="preserve"> Chemicals Dashboard contains over 875,000 compounds out of which a minor fraction have solid toxicological data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{"citationID":"b0puppZD","properties":{"formattedCitation":"(Williams et al., 2017)","plainCitation":"(Williams et al., 2017)","noteIndex":0},"citationItems":[{"id":135,"uris":["http://zotero.org/users/local/PQz9MTWE/items/ZR7FIP3L"],"itemData":{"id":135,"type":"article-journal","abstract":"Despite an abundance of online databases providing access to chemical data, there is increasing demand for high-quality, structure-curated, open data to meet the various needs of the environmental sciences and computational toxicology communities. The U.S. Environmental Protection Agency’s (EPA) web-based CompTox Chemistry Dashboard is addressing these needs by integrating diverse types of relevant domain data through a cheminformatics layer, built upon a database of curated substances linked to chemical structures. These data include physicochemical, environmental fate and transport, exposure, usage, in vivo toxicity, and in vitro bioassay data, surfaced through an integration hub with link-outs to additional EPA data and public domain online resources. Batch searching allows for direct chemical identifier (ID) mapping and downloading of multiple data streams in several different formats. This facilitates fast access to available structure, property, toxicity, and bioassay data for collections of chemicals (hundreds to thousands at a time). Advanced search capabilities are available to support, for example, non-targeted analysis and identification of chemicals using mass spectrometry. The contents of the chemistry database, presently containing ~ 760,000 substances, are available as public domain data for download. The chemistry content underpinning the Dashboard has been aggregated over the past 15 years by both manual and auto-curation techniques within EPA’s DSSTox project. DSSTox chemical content is subject to strict quality controls to enforce consistency among chemical substance-structure identifiers, as well as list curation review to ensure accurate linkages of DSSTox substances to chemical lists and associated data. The Dashboard, publicly launched in April 2016, has expanded considerably in content and user traffic over the past year. It is continuously evolving with the growth of DSSTox into high-interest or data-rich domains of interest to EPA, such as chemicals on the Toxic Substances Control Act listing, while providing the user community with a flexible and dynamic web-based platform for integration, processing, visualization and delivery of data and resources. The Dashboard provides support for a broad array of research and regulatory programs across the worldwide community of toxicologists and environmental scientists.","container-title":"Journal of Cheminformatics","DOI":"10.1186/s13321-017-0247-6","ISSN":"1758-2946","issue":"1","journalAbbreviation":"Journal of Cheminformatics","page":"61","source":"BioMed Central","title":"The CompTox Chemistry Dashboard: a community data resource for environmental chemistry","title-short":"The CompTox Chemistry Dashboard","volume":"9","author":[{"family":"Williams","given":"Antony J."},{"family":"Grulke","given":"Christopher M."},{"family":"Edwards","given":"Jeff"},{"family":"McEachran","given":"Andrew D."},{"family":"Mansouri","given":"Kamel"},{"family":"Baker","given":"Nancy C."},{"family":"Patlewicz","given":"Grace"},{"family":"Shah","given":"Imran"},{"family":"Wambaugh","given":"John F."},{"family":"Judson","given":"Richard S."},{"family":"Richard","given":"Ann M."}],"issued":{"date-parts":[["2017",11,28]]}}}],"schema":"https://github.com/citation-style-language/schema/raw/master/csl-citation.json"}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(Williams et al., 2017)</w:t>
      </w:r>
      <w:r>
        <w:rPr>
          <w:rFonts w:ascii="Times New Roman" w:hAnsi="Times New Roman" w:cs="Times New Roman"/>
          <w:sz w:val="24"/>
          <w:szCs w:val="24"/>
        </w:rPr>
        <w:fldChar w:fldCharType="end"/>
      </w:r>
      <w:r w:rsidRPr="00996BBF">
        <w:rPr>
          <w:rFonts w:ascii="Times New Roman" w:hAnsi="Times New Roman" w:cs="Times New Roman"/>
          <w:sz w:val="24"/>
          <w:szCs w:val="24"/>
        </w:rPr>
        <w:t xml:space="preserve">. </w:t>
      </w:r>
      <w:r w:rsidRPr="00155878">
        <w:rPr>
          <w:rFonts w:ascii="Times New Roman" w:hAnsi="Times New Roman" w:cs="Times New Roman"/>
          <w:sz w:val="24"/>
          <w:szCs w:val="24"/>
        </w:rPr>
        <w:t xml:space="preserve">To fill this knowledge gap, New Approach Methodologies (NAMs) have been developed that include high-throughput in vitro tests, organ-on-a-chip devices, and mechanistic assays based on well-defined Adverse Outcome Pathway (AOP) key events. </w:t>
      </w:r>
      <w:r w:rsidRPr="00996BBF">
        <w:rPr>
          <w:rFonts w:ascii="Times New Roman" w:hAnsi="Times New Roman" w:cs="Times New Roman"/>
          <w:sz w:val="24"/>
          <w:szCs w:val="24"/>
        </w:rPr>
        <w:t xml:space="preserve">NAMs offer faster, scalable, and more responsible assessments together with mechanistic insight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{"citationID":"6Xc8FW3z","properties":{"formattedCitation":"(Escher et al., 2022; OECD, 2016)","plainCitation":"(Escher et al., 2022; OECD, 2016)","noteIndex":0},"citationItems":[{"id":775,"uris":["http://zotero.org/users/local/PQz9MTWE/items/44GUQSDD"],"itemData":{"id":775,"type":"article-journal","abstract":"While whole animal studies have their place in risk assessment of food and feed components, it is thought that more modern approaches such as human focused new approached methodologies (NAMs) would bring advantages including a greater focus to the human species, a focus on molecular mechanism and kinetics and the possibility of addressing susceptible populations. This report outlines the thinking from the authors and culminates in activity proposals in seven distinct but interacting scientific areas i.e. development of additional AOPs/AOP networks (AOPs), advanced cell culture models including Organ on a chip (OoC), toxicokinetic assessment with a focus on physiological based kinetic modelling (PBK), exposome, human susceptibility, data integration and new concepts in human risk assessment. Furthermore, the development of a Forum is proposed to facilitate the implementation of new approaches and concepts in risk assessment. The report was compiled by the project team, renowned experts in the various areas, and recommendations were discussed with EFSA and further refined following consultation with external experts via a dedicated workshop. The authors are convinced that if the recommendations are taken up, there will be a significant impact in the field, resulting in increasing the uptake and utilisation of these emerging technologies by all stakeholders involved.","container-title":"EFSA Supporting Publications","DOI":"10.2903/sp.efsa.2022.EN-7341","ISSN":"2397-8325","issue":"6","language":"en","license":"© European Food Safety Authority, 2022","note":"_eprint: https://efsa.onlinelibrary.wiley.com/doi/pdf/10.2903/sp.efsa.2022.EN-7341","page":"7341E","source":"Wiley Online Library","title":"Development of a Roadmap for Action on New Approach Methodologies in Risk Assessment","volume":"19","author":[{"family":"Escher","given":"Sylvia E."},{"family":"Partosch","given":"Falko"},{"family":"Konzok","given":"Sebastian"},{"family":"Jennings","given":"Paul"},{"family":"Luijten","given":"Mirjam"},{"family":"Kienhuis","given":"Anne"},{"family":"Leeuw","given":"Victoria","non-dropping-particle":"de"},{"family":"Reuss","given":"Rosmarie"},{"family":"Lindemann","given":"Katrina-Magdalena"},{"family":"Bennekou","given":"Susanne Hougaard"}],"issued":{"date-parts":[["2022"]]}}},{"id":648,"uris":["http://zotero.org/users/local/PQz9MTWE/items/5Y38NKC3"],"itemData":{"id":648,"type":"webpage","abstract":"Succinct,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(Escher et al., 2022; OECD, 2016)</w:t>
      </w:r>
      <w:r>
        <w:rPr>
          <w:rFonts w:ascii="Times New Roman" w:hAnsi="Times New Roman" w:cs="Times New Roman"/>
          <w:sz w:val="24"/>
          <w:szCs w:val="24"/>
        </w:rPr>
        <w:fldChar w:fldCharType="end"/>
      </w:r>
      <w:r>
        <w:rPr>
          <w:rFonts w:ascii="Times New Roman" w:hAnsi="Times New Roman" w:cs="Times New Roman"/>
          <w:sz w:val="24"/>
          <w:szCs w:val="24"/>
        </w:rPr>
        <w:t>.</w:t>
      </w:r>
    </w:p>
    <w:p w14:paraId="243A9FE3" w14:textId="77777777" w:rsidR="009F3870" w:rsidRPr="00996BBF" w:rsidRDefault="009F3870" w:rsidP="009F3870">
      <w:pPr>
        <w:spacing w:after="0"/>
        <w:jc w:val="both"/>
        <w:rPr>
          <w:rFonts w:ascii="Times New Roman" w:hAnsi="Times New Roman" w:cs="Times New Roman"/>
          <w:sz w:val="24"/>
          <w:szCs w:val="24"/>
        </w:rPr>
      </w:pPr>
    </w:p>
    <w:p w14:paraId="78148A13" w14:textId="77777777" w:rsidR="009F3870" w:rsidRPr="00996BBF" w:rsidRDefault="009F3870" w:rsidP="009F3870">
      <w:pPr>
        <w:spacing w:after="0"/>
        <w:jc w:val="both"/>
        <w:rPr>
          <w:rFonts w:ascii="Times New Roman" w:hAnsi="Times New Roman" w:cs="Times New Roman"/>
          <w:sz w:val="24"/>
          <w:szCs w:val="24"/>
        </w:rPr>
      </w:pPr>
      <w:r w:rsidRPr="001776AF">
        <w:rPr>
          <w:rFonts w:ascii="Times New Roman" w:hAnsi="Times New Roman" w:cs="Times New Roman"/>
          <w:sz w:val="24"/>
          <w:szCs w:val="24"/>
        </w:rPr>
        <w:t xml:space="preserve">Whereas this, computational toxicology moved away from Quantitative Structure–Activity Relationships (QSAR) and Quantitative Structure–Property Relationships (QSPR) towards machine learning approaches. QSAR/QSPR models are solid but bounded by domains of applicability, complexity bifurcation at new compounds or blends in the lack of analogues, and they break down with external validation issues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{"citationID":"ygAiyHRK","properties":{"formattedCitation":"(OECD, 2023)","plainCitation":"(OECD, 2023)","noteIndex":0},"citationItems":[{"id":860,"uris":["http://zotero.org/users/local/PQz9MTWE/items/KU4S2TWR"],"itemData":{"id":860,"type":"book","collection-title":"OECD Series on Testing and Assessment","ISBN":"978-92-64-95516-5","language":"en","note":"DOI: 10.1787/d96118f6-en","publisher":"OECD","source":"DOI.org (Crossref)","title":"(Q)SAR Assessment Framework: Guidance for the regulatory assessment of (Quantitative) Structure Activity Relationship models and predictions","title-short":"(Q)SAR Assessment Framework","URL":"https://www.oecd.org/en/publications/q-sar-assessment-framework-guidance-for-the-regulatory-assessment-of-quantitative-structure-activity-relationship-models-and-predictions_d96118f6-en.html","author":[{"literal":"OECD"}],"accessed":{"date-parts":[["2025",8,19]]},"issued":{"date-parts":[["2023",11,21]]}}}],"schema":"https://github.com/citation-style-language/schema/raw/master/csl-citation.json"} </w:instrText>
      </w:r>
      <w:r>
        <w:rPr>
          <w:rFonts w:ascii="Times New Roman" w:hAnsi="Times New Roman" w:cs="Times New Roman"/>
          <w:sz w:val="24"/>
          <w:szCs w:val="24"/>
        </w:rPr>
        <w:fldChar w:fldCharType="separate"/>
      </w:r>
      <w:r w:rsidRPr="001776AF">
        <w:rPr>
          <w:rFonts w:ascii="Times New Roman" w:hAnsi="Times New Roman" w:cs="Times New Roman"/>
          <w:sz w:val="24"/>
        </w:rPr>
        <w:t>(OECD, 2023)</w:t>
      </w:r>
      <w:r>
        <w:rPr>
          <w:rFonts w:ascii="Times New Roman" w:hAnsi="Times New Roman" w:cs="Times New Roman"/>
          <w:sz w:val="24"/>
          <w:szCs w:val="24"/>
        </w:rPr>
        <w:fldChar w:fldCharType="end"/>
      </w:r>
      <w:r w:rsidRPr="001776AF">
        <w:rPr>
          <w:rFonts w:ascii="Times New Roman" w:hAnsi="Times New Roman" w:cs="Times New Roman"/>
          <w:sz w:val="24"/>
          <w:szCs w:val="24"/>
        </w:rPr>
        <w:t>.</w:t>
      </w:r>
      <w:r w:rsidRPr="00996BBF">
        <w:rPr>
          <w:rFonts w:ascii="Times New Roman" w:hAnsi="Times New Roman" w:cs="Times New Roman"/>
          <w:sz w:val="24"/>
          <w:szCs w:val="24"/>
        </w:rPr>
        <w:t xml:space="preserve"> Previous machine learning models such as logistic regression, support vector machines (SVMs), and random forests increased the strength of prediction while struggling against high-dimensional, heterogeneous data. Sophisticated deep models offer better performance at the cost of "black box" interpretability, raising the demand for interpretability to grant regulatory clearance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{"citationID":"VAoCrhcC","properties":{"formattedCitation":"(Jia et al., 2023; Mayr et al., 2016)","plainCitation":"(Jia et al., 2023; Mayr et al., 2016)","noteIndex":0},"citationItems":[{"id":215,"uris":["http://zotero.org/users/local/PQz9MTWE/items/83WMFIGA"],"itemData":{"id":215,"type":"article-journal","abstract":"Chemical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(Jia et al., 2023; Mayr et al., 2016)</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4701E719" w14:textId="77777777" w:rsidR="009F3870" w:rsidRPr="00996BBF" w:rsidRDefault="009F3870" w:rsidP="009F3870">
      <w:pPr>
        <w:spacing w:after="0"/>
        <w:jc w:val="both"/>
        <w:rPr>
          <w:rFonts w:ascii="Times New Roman" w:hAnsi="Times New Roman" w:cs="Times New Roman"/>
          <w:sz w:val="24"/>
          <w:szCs w:val="24"/>
        </w:rPr>
      </w:pPr>
    </w:p>
    <w:p w14:paraId="2F0B8F03" w14:textId="77777777" w:rsidR="009F3870" w:rsidRPr="00996BBF" w:rsidRDefault="009F3870" w:rsidP="009F3870">
      <w:pPr>
        <w:spacing w:after="0"/>
        <w:jc w:val="both"/>
        <w:rPr>
          <w:rFonts w:ascii="Times New Roman" w:hAnsi="Times New Roman" w:cs="Times New Roman"/>
        </w:rPr>
      </w:pPr>
      <w:r w:rsidRPr="00996BBF">
        <w:rPr>
          <w:rFonts w:ascii="Times New Roman" w:hAnsi="Times New Roman" w:cs="Times New Roman"/>
          <w:sz w:val="24"/>
          <w:szCs w:val="24"/>
        </w:rPr>
        <w:t xml:space="preserve">Widening convergence of NAMs and computational methods can be observed in modern toxicology: </w:t>
      </w:r>
      <w:proofErr w:type="spellStart"/>
      <w:r w:rsidRPr="00996BBF">
        <w:rPr>
          <w:rFonts w:ascii="Times New Roman" w:hAnsi="Times New Roman" w:cs="Times New Roman"/>
          <w:sz w:val="24"/>
          <w:szCs w:val="24"/>
        </w:rPr>
        <w:t>omic</w:t>
      </w:r>
      <w:proofErr w:type="spellEnd"/>
      <w:r w:rsidRPr="00996BBF">
        <w:rPr>
          <w:rFonts w:ascii="Times New Roman" w:hAnsi="Times New Roman" w:cs="Times New Roman"/>
          <w:sz w:val="24"/>
          <w:szCs w:val="24"/>
        </w:rPr>
        <w:t xml:space="preserve"> and high-throughput data are being used more and more in predictive models, basically taking NAM ability beyond experimental throughput limits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{"citationID":"V20ptVRc","properties":{"formattedCitation":"(Najjar et al., 2023; Thomas et al., 2019)","plainCitation":"(Najjar et al., 2023; Thomas et al., 2019)","noteIndex":0},"citationItems":[{"id":856,"uris":["http://zotero.org/users/local/PQz9MTWE/items/TXCUVNT7"],"itemData":{"id":856,"type":"article-journal","container-title":"Frontiers in Pharmacology","DOI":"10.3389/fphar.2023.1257423","ISSN":"1663-9812","journalAbbreviation":"Front Pharmacol","note":"PMID: 37601064\nPMCID: PMC10433902","page":"1257423","source":"PubMed Central","title":"Editorial: Advances in and applications of predictive toxicology: 2022","title-short":"Editorial","volume":"14","author":[{"family":"Najjar","given":"Abdulkarim"},{"family":"Kramer","given":"Nynke"},{"family":"Gardner","given":"Iain"},{"family":"Hartung","given":"Thomas"},{"family":"Steger-Hartmann","given":"Thomas"}],"issued":{"date-parts":[["2023",8,2]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(Najjar et al., 2023; Thomas et al., 2019)</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697A3344" w14:textId="77777777" w:rsidR="009F3870" w:rsidRPr="00032F89" w:rsidRDefault="009F3870" w:rsidP="009F3870">
      <w:pPr>
        <w:spacing w:after="0"/>
        <w:rPr>
          <w:rFonts w:ascii="Times New Roman" w:hAnsi="Times New Roman" w:cs="Times New Roman"/>
          <w:sz w:val="24"/>
          <w:szCs w:val="24"/>
        </w:rPr>
      </w:pPr>
    </w:p>
    <w:p w14:paraId="100D94FE" w14:textId="77777777" w:rsidR="009F3870" w:rsidRPr="002B771C" w:rsidRDefault="009F3870" w:rsidP="009F3870">
      <w:pPr>
        <w:spacing w:after="0"/>
        <w:jc w:val="both"/>
        <w:rPr>
          <w:rFonts w:ascii="Times New Roman" w:hAnsi="Times New Roman" w:cs="Times New Roman"/>
          <w:b/>
          <w:bCs/>
          <w:sz w:val="28"/>
          <w:szCs w:val="28"/>
        </w:rPr>
      </w:pPr>
      <w:r w:rsidRPr="002B771C">
        <w:rPr>
          <w:rFonts w:ascii="Times New Roman" w:hAnsi="Times New Roman" w:cs="Times New Roman"/>
          <w:b/>
          <w:bCs/>
          <w:sz w:val="28"/>
          <w:szCs w:val="28"/>
        </w:rPr>
        <w:t>1.4 Data Science Meets Toxicology: Predicting Chemical Risk with Machine Learning</w:t>
      </w:r>
    </w:p>
    <w:p w14:paraId="74198D37" w14:textId="77777777" w:rsidR="009F3870" w:rsidRPr="002B771C" w:rsidRDefault="009F3870" w:rsidP="009F3870">
      <w:pPr>
        <w:spacing w:after="0"/>
        <w:jc w:val="both"/>
        <w:rPr>
          <w:rFonts w:ascii="Times New Roman" w:hAnsi="Times New Roman" w:cs="Times New Roman"/>
          <w:b/>
          <w:bCs/>
          <w:sz w:val="28"/>
          <w:szCs w:val="28"/>
        </w:rPr>
      </w:pPr>
    </w:p>
    <w:p w14:paraId="134B78FC"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Machine learning (ML) is increasingly the focus of computational toxicology as it permits predictions of chemical toxicity based on molecular structure, physicochemical descriptors, and high-throughput assay data.  This in silico toxicology offers scalability and speed so that large libraries of chemicals can be screened without the cost or ethics of animal testing</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{"citationID":"4xiINXZI","properties":{"formattedCitation":"(Cavasotto and Scardino, 2022; Wu et al., 2022)","plainCitation":"(Cavasotto and Scardino, 2022; Wu et al., 2022)","noteIndex":0},"citationItems":[{"id":263,"uris":["http://zotero.org/users/local/PQz9MTWE/items/CGEK9CCN"],"itemData":{"id":263,"type":"article-journal","abstract":"Machine learning (ML) models to predict the toxicity of small molecules have garnered great attention and have become widely used in recent years. Computational toxicity prediction is particularly advantageous in the early stages of drug discovery in order to filter out molecules with high probability of failing in clinical trials. This has been helped by the increase in the number of large toxicology databases available. However, being an area of recent application, a greater understanding of the scope and applicability of ML methods is still necessary. There are various kinds of toxic end points that have been predicted in silico. Acute oral toxicity, hepatotoxicity, cardiotoxicity, mutagenicity, and the 12 Tox21 data end points are among the most commonly investigated. Machine learning methods exhibit different performances on different data sets due to dissimilar complexity, class distributions, or chemical space covered, which makes it hard to compare the performance of algorithms over different toxic end points. The general pipeline to predict toxicity using ML has already been analyzed in various reviews. In this contribution, we focus on the recent progress in the area and the outstanding challenges, making a detailed description of the state-of-the-art models implemented for each toxic end point. The type of molecular representation, the algorithm, and the evaluation metric used in each research work are explained and analyzed. A detailed description of end points that are usually predicted, their clinical relevance, the available databases, and the challenges they bring to the field are also highlighted.","container-title":"ACS Omega","DOI":"10.1021/acsomega.2c05693","issue":"51","journalAbbreviation":"ACS Omega","note":"publisher: American Chemical Society","page":"47536-47546","source":"ACS Publications","title":"Machine Learning Toxicity Prediction: Latest Advances by Toxicity End Point","title-short":"Machine Learning Toxicity Prediction","volume":"7","author":[{"family":"Cavasotto","given":"Claudio N."},{"family":"Scardino","given":"Valeria"}],"issued":{"date-parts":[["2022",12,27]]}}},{"id":195,"uris":["http://zotero.org/users/local/PQz9MTWE/items/5W4AH9RR"],"itemData":{"id":195,"type":"article-journal","container-title":"Journal of Hazardous Materials","DOI":"10.1016/j.jhazmat.2022.129487","ISSN":"0304-3894","language":"en","license":"https://www.elsevier.com/tdm/userlicense/1.0/","note":"publisher: Elsevier BV","page":"129487","source":"Crossref","title":"Machine learning in the identification, prediction and exploration of environmental toxicology: Challenges and perspectives","title-short":"Machine learning in the identification, prediction and exploration of environmental toxicology","volume":"438","author":[{"family":"Wu","given":"Xiaotong"},{"family":"Zhou","given":"Qixing"},{"family":"Mu","given":"Li"},{"family":"Hu","given":"Xiangang"}],"issued":{"date-parts":[["2022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(Cavasotto and Scardino, 2022; Wu et al., 2022)</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16D14B7" w14:textId="77777777" w:rsidR="009F3870" w:rsidRPr="002B771C" w:rsidRDefault="009F3870" w:rsidP="009F3870">
      <w:pPr>
        <w:spacing w:after="0"/>
        <w:jc w:val="both"/>
        <w:rPr>
          <w:rFonts w:ascii="Times New Roman" w:hAnsi="Times New Roman" w:cs="Times New Roman"/>
          <w:sz w:val="24"/>
          <w:szCs w:val="24"/>
        </w:rPr>
      </w:pPr>
    </w:p>
    <w:p w14:paraId="60C0A105"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 xml:space="preserve">Of machine learning methods, the gradient boosting algorithm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has been especially successful. It is efficient computationally, handles missing data, and handles class imbalance, which is common in toxicology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{"citationID":"u4o4pmu9","properties":{"formattedCitation":"(Chen and Guestrin, 2016; Kang et al., 2023)","plainCitation":"(Chen and Guestrin, 2016; Kang et al., 2023)","noteIndex":0},"citationItems":[{"id":395,"uris":["http://zotero.org/users/local/PQz9MTWE/items/SBZI28U3"],"itemData":{"id":395,"type":"paper-conference","container-title":"Proceedings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146,"uris":["http://zotero.org/users/local/PQz9MTWE/items/KKVHAWWM"],"itemData":{"id":146,"type":"article-journal","abstract":"Skin irritation test is an essential part of the safety assessment of chemicals. Recently, computational models to predict the skin irritation draw attention as alternatives to animal testing. We developed prediction models on skin irritation/corrosion of liquid chemicals using machine learning algorithms, with 34 physicochemical descriptors calculated from the structure. The training and test dataset of 545 liquid chemicals with reliable in vivo skin hazard classifications based on UN Globally Harmonized System [category 1 (corrosive, Cat 1), 2 (irritant, Cat 2), 3 (mild irritant, Cat 3), and no category (nonirritant, NC)] were collected from public databases. After the curation of input data through removal and correlation analysis, every model was constructed to predict skin hazard classification for liquid chemicals with 22 physicochemical descriptors. Seven machine learning algorithms [Logistic regression, Naïve Bayes, k-nearest neighbor, Support vector machine, Random Forest, Extreme gradient boosting (XGB), and Neural net] were applied to ternary and binary classification of skin hazard. XGB model demonstrated the highest accuracy (0.73–0.81), sensitivity (0.71–0.92), and positive predictive value (0.65–0.81). The contribution of physicochemical descriptors to the classification was analyzed using Shapley Additive exPlanations plot to provide an insight into the skin irritation of chemicals.","container-title":"Toxicological Research","DOI":"10.1007/s43188-022-00168-8","ISSN":"2234-2753","issue":"2","journalAbbreviation":"Toxicol Res.","language":"en","page":"295-305","source":"Springer Link","title":"Machine-learning based prediction models for assessing skin irritation and corrosion potential of liquid chemicals using physicochemical properties by XGBoost","volume":"39","author":[{"family":"Kang","given":"Yeonsoo"},{"family":"Kim","given":"Myeong Gyu"},{"family":"Lim","given":"Kyung-Min"}],"issued":{"date-parts":[["2023",4,1]]}}}],"schema":"https://github.com/citation-style-language/schema/raw/master/csl-citation.json"}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(Chen and Guestrin, 2016; Kang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Combined </w:t>
      </w:r>
      <w:r w:rsidRPr="002B771C">
        <w:rPr>
          <w:rFonts w:ascii="Times New Roman" w:hAnsi="Times New Roman" w:cs="Times New Roman"/>
          <w:sz w:val="24"/>
          <w:szCs w:val="24"/>
        </w:rPr>
        <w:lastRenderedPageBreak/>
        <w:t xml:space="preserve">with interpretability tools such as SHAP (Shapley Additive Explanations),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models not only make precise predictions but also specify which molecular descriptors define toxicity outcomes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{"citationID":"0yolq4yC","properties":{"formattedCitation":"(Lundberg and Lee, 2017; Ponce-Bobadilla et al., 2024)","plainCitation":"(Lundberg and Lee, 2017; Ponce-Bobadilla et al., 2024)","noteIndex":0},"citationItems":[{"id":416,"uris":["http://zotero.org/users/local/PQz9MTWE/items/3WS5QYYD"],"itemData":{"id":416,"type":"paper-conference","abstract":"Understanding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M"},{"family":"Lee","given":"Su-In"}],"accessed":{"date-parts":[["2025",6,4]]},"issued":{"date-parts":[["2017"]]}}},{"id":331,"uris":["http://zotero.org/users/local/PQz9MTWE/items/88PZCP3F"],"itemData":{"id":331,"type":"article-journal","abstract":"Despite increasing interest in using Artificial Intelligence (AI) and Machine Learning (ML) models for drug development, effectively interpreting their predictions remains a challenge, which limits their impact on clinical decisions. We address this issue by providing a practical guide to SHapley Additive exPlanations (SHAP), a popular feature-based interpretability method, which can be seamlessly integrated into supervised ML models to gain a deeper understanding of their predictions, thereby enhancing their transparency and trustworthiness. This tutorial focuses on the application of SHAP analysis to standard ML black-box models for regression and classification problems. We provide an overview of various visualization plots and their interpretation, available software for implementing SHAP, and highlight best practices, as well as special considerations, when dealing with binary endpoints and time-series models. To enhance the reader's understanding for the method, we also apply it to inherently explainable regression models. Finally, we discuss the limitations and ongoing advancements aimed at tackling the current drawbacks of the method.","container-title":"Clinical and Translational Science","DOI":"10.1111/cts.70056","ISSN":"1752-8062","issue":"11","language":"en","license":"© 2024 AbbVie Inc. Clinical and Translational Science published by Wiley Periodicals LLC on behalf of American Society for Clinical Pharmacology and Therapeutics.","note":"_eprint: https://onlinelibrary.wiley.com/doi/pdf/10.1111/cts.70056","page":"e70056","source":"Wiley Online Library","title":"Practical guide to SHAP analysis: Explaining supervised machine learning model predictions in drug development","title-short":"Practical guide to SHAP analysis","volume":"17","author":[{"family":"Ponce-Bobadilla","given":"Ana Victoria"},{"family":"Schmitt","given":"Vanessa"},{"family":"Maier","given":"Corinna S."},{"family":"Mensing","given":"Sven"},{"family":"Stodtmann","given":"Sven"}],"issued":{"date-parts":[["2024"]]}}}],"schema":"https://github.com/citation-style-language/schema/raw/master/csl-citation.json"}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(Lundberg and Lee, 2017; Ponce-Bobadilla et al., 2024)</w:t>
      </w:r>
      <w:r>
        <w:rPr>
          <w:rFonts w:ascii="Times New Roman" w:hAnsi="Times New Roman" w:cs="Times New Roman"/>
          <w:sz w:val="24"/>
          <w:szCs w:val="24"/>
        </w:rPr>
        <w:fldChar w:fldCharType="end"/>
      </w:r>
      <w:r w:rsidRPr="002B771C">
        <w:rPr>
          <w:rFonts w:ascii="Times New Roman" w:hAnsi="Times New Roman" w:cs="Times New Roman"/>
          <w:sz w:val="24"/>
          <w:szCs w:val="24"/>
        </w:rPr>
        <w:t>. This is important because clear models help construct regulatory trust: agencies will be more willing to act upon ML predictions if rationales that support them are understandable and scientifically motivated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{"citationID":"KcymEs5K","properties":{"formattedCitation":"(Jia et al., 2023)","plainCitation":"(Jia et al., 2023)","noteIndex":0},"citationItems":[{"id":215,"uris":["http://zotero.org/users/local/PQz9MTWE/items/83WMFIGA"],"itemData":{"id":215,"type":"article-journal","abstract":"Chemical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(Jia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8EE3646" w14:textId="77777777" w:rsidR="009F3870" w:rsidRPr="002B771C" w:rsidRDefault="009F3870" w:rsidP="009F3870">
      <w:pPr>
        <w:spacing w:after="0"/>
        <w:jc w:val="both"/>
        <w:rPr>
          <w:rFonts w:ascii="Times New Roman" w:hAnsi="Times New Roman" w:cs="Times New Roman"/>
          <w:sz w:val="24"/>
          <w:szCs w:val="24"/>
        </w:rPr>
      </w:pPr>
    </w:p>
    <w:p w14:paraId="45A50621" w14:textId="77777777" w:rsidR="009F3870" w:rsidRDefault="009F3870" w:rsidP="009F3870">
      <w:pPr>
        <w:spacing w:after="0"/>
        <w:jc w:val="both"/>
        <w:rPr>
          <w:rFonts w:ascii="Times New Roman" w:hAnsi="Times New Roman" w:cs="Times New Roman"/>
          <w:sz w:val="24"/>
          <w:szCs w:val="24"/>
        </w:rPr>
      </w:pPr>
      <w:r w:rsidRPr="00CD319C">
        <w:rPr>
          <w:rFonts w:ascii="Times New Roman" w:hAnsi="Times New Roman" w:cs="Times New Roman"/>
          <w:sz w:val="24"/>
          <w:szCs w:val="24"/>
        </w:rPr>
        <w:t xml:space="preserve">Recent studies illustrate the growing use of ML in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{"citationID":"6O0tRCw8","properties":{"formattedCitation":"(Peets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(Peets et al., 2022)</w:t>
      </w:r>
      <w:r>
        <w:rPr>
          <w:rFonts w:ascii="Times New Roman" w:hAnsi="Times New Roman" w:cs="Times New Roman"/>
          <w:sz w:val="24"/>
          <w:szCs w:val="24"/>
        </w:rPr>
        <w:fldChar w:fldCharType="end"/>
      </w:r>
      <w:r w:rsidRPr="00CD319C">
        <w:rPr>
          <w:rFonts w:ascii="Times New Roman" w:hAnsi="Times New Roman" w:cs="Times New Roman"/>
          <w:sz w:val="24"/>
          <w:szCs w:val="24"/>
        </w:rPr>
        <w:t xml:space="preserve"> developed MS2Tox, a predictor of ecotoxicity based on MS² fragmentations tandem mass spectrometry data that capture structural breakdown patterns of molecules.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{"citationID":"j9EtCFMI","properties":{"formattedCitation":"(D\\uc0\\u252{}hrkop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(Dührkop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D319C">
        <w:rPr>
          <w:rFonts w:ascii="Times New Roman" w:hAnsi="Times New Roman" w:cs="Times New Roman"/>
          <w:sz w:val="24"/>
          <w:szCs w:val="24"/>
        </w:rPr>
        <w:t xml:space="preserve">demonstrated that SIRIUS and </w:t>
      </w:r>
      <w:proofErr w:type="spellStart"/>
      <w:r w:rsidRPr="00CD319C">
        <w:rPr>
          <w:rFonts w:ascii="Times New Roman" w:hAnsi="Times New Roman" w:cs="Times New Roman"/>
          <w:sz w:val="24"/>
          <w:szCs w:val="24"/>
        </w:rPr>
        <w:t>CSI:FingerID</w:t>
      </w:r>
      <w:proofErr w:type="spellEnd"/>
      <w:r w:rsidRPr="00CD319C">
        <w:rPr>
          <w:rFonts w:ascii="Times New Roman" w:hAnsi="Times New Roman" w:cs="Times New Roman"/>
          <w:sz w:val="24"/>
          <w:szCs w:val="24"/>
        </w:rPr>
        <w:t xml:space="preserve"> can predict molecular structures and activity from MS/MS spectra, extending toxicity prediction even to chemicals whose identity is unknown.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{"citationID":"9N21aQr2","properties":{"formattedCitation":"(Arturi and Hollender, 2023)","plainCitation":"(Arturi and Hollender, 2023)","noteIndex":0},"citationItems":[{"id":202,"uris":["http://zotero.org/users/local/PQz9MTWE/items/IWTYXQGJ"],"itemData":{"id":202,"type":"article-journal","abstract":"Nontarget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(Arturi and Hollender,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 xml:space="preserve">used Random Forests in risk-guided prioritization of environmental contaminants,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{"citationID":"VyMNNmYe","properties":{"formattedCitation":"(Jaganathan et al., 2022)","plainCitation":"(Jaganathan et al., 2022)","noteIndex":0},"citationItems":[{"id":283,"uris":["http://zotero.org/users/local/PQz9MTWE/items/VJXWREDD"],"itemData":{"id":283,"type":"article-journal","abstract":"Respiratory toxicity is a serious public health concern caused by the adverse effects of drugs or chemicals, so the pharmaceutical and chemical industries demand reliable and precise computational tools to assess the respiratory toxicity of compounds. The purpose of this study is to develop quantitative structure-activity relationship models for a large dataset of chemical compounds associated with respiratory system toxicity. First, several feature selection techniques are explored to find the optimal subset of molecular descriptors for efficient modeling. Then, eight different machine learning algorithms are utilized to construct respiratory toxicity prediction models. The support vector machine classifier outperforms all other optimized models in 10-fold cross-validation. Additionally, it outperforms the prior study by 2% in prediction accuracy and 4% in MCC. The best SVM model achieves a prediction accuracy of 86.2% and a MCC of 0.722 on the test set. The proposed SVM model predictions are explained using the SHapley Additive exPlanations approach, which prioritizes the relevance of key modeling descriptors influencing the prediction of respiratory toxicity. Thus, our proposed model would be incredibly beneficial in the early stages of drug development for predicting and understanding potential respiratory toxic compounds.","container-title":"Pharmaceutics","DOI":"10.3390/pharmaceutics14040832","ISSN":"1999-4923","issue":"4","language":"en","license":"http://creativecommons.org/licenses/by/3.0/","note":"number: 4\npublisher: Multidisciplinary Digital Publishing Institute","page":"832","source":"www.mdpi.com","title":"An Explainable Supervised Machine Learning Model for Predicting Respiratory Toxicity of Chemicals Using Optimal Molecular Descriptors","volume":"14","author":[{"family":"Jaganathan","given":"Keerthana"},{"family":"Tayara","given":"Hilal"},{"family":"Chong","given":"Kil To"}],"issued":{"date-parts":[["2022",4]]}}}],"schema":"https://github.com/citation-style-language/schema/raw/master/csl-citation.json"}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(Jaganathan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constructed an interpretable respiratory toxicity model from optimal molecular descriptors.</w:t>
      </w:r>
    </w:p>
    <w:p w14:paraId="66E8ECA3" w14:textId="77777777" w:rsidR="009F3870" w:rsidRPr="002B771C" w:rsidRDefault="009F3870" w:rsidP="009F3870">
      <w:pPr>
        <w:spacing w:after="0"/>
        <w:jc w:val="both"/>
        <w:rPr>
          <w:rFonts w:ascii="Times New Roman" w:hAnsi="Times New Roman" w:cs="Times New Roman"/>
          <w:sz w:val="24"/>
          <w:szCs w:val="24"/>
        </w:rPr>
      </w:pPr>
    </w:p>
    <w:p w14:paraId="10CB2274"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Outside of toxicity, ML has also been applied.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{"citationID":"Fg95wtOA","properties":{"formattedCitation":"(Palm and Kruve, 2022)","plainCitation":"(Palm and Kruve, 2022)","noteIndex":0},"citationItems":[{"id":183,"uris":["http://zotero.org/users/local/PQz9MTWE/items/CMIX8YBP"],"itemData":{"id":183,"type":"article-journal","abstract":"LC/ESI/HRMS is increasingly employed for monitoring chemical pollutants in water samples, with non-targeted analysis becoming more common. Unfortunately, due to the lack of analytical standards, non-targeted analysis is mostly qualitative. To remedy this, models have been developed to evaluate the response of compounds from their structure, which can then be used for quantification in non-targeted analysis. Still, these models rely on tentatively known structures while for most detected compounds, a list of structural candidates, or sometimes only exact mass and retention time are identified. In this study, a quantification approach was developed, where LC/ESI/HRMS descriptors are used for quantification of compounds even if the structure is unknown. The approach was developed based on 92 compounds analyzed in parallel in both positive and negative ESI mode with mobile phases at pH 2.7, 8.0, and 10.0. The developed approach was compared with two baseline approaches— one assuming equal response factors for all compounds and one using the response factor of the closest eluting standard. The former gave a mean prediction error of a factor of 29, while the latter gave a mean prediction error of a factor of 1300. In the machine learning-based quantification approach developed here, the corresponding prediction error was a factor of 10. Furthermore, the approach was validated by analyzing two blind samples containing 48 compounds spiked into tap water and ultrapure water. The obtained mean prediction error was lower than a factor of 6.0 for both samples. The errors were found to be comparable to approaches using structural information.","container-title":"Molecules","DOI":"10.3390/molecules27031013","ISSN":"1420-3049","issue":"3","language":"en","license":"http://creativecommons.org/licenses/by/3.0/","note":"number: 3\npublisher: Multidisciplinary Digital Publishing Institute","page":"1013","source":"www.mdpi.com","title":"Machine Learning for Absolute Quantification of Unidentified Compounds in Non-Targeted LC/HRMS","volume":"27","author":[{"family":"Palm","given":"Emma"},{"family":"Kruve","given":"Anneli"}],"issued":{"date-parts":[["2022",1]]}}}],"schema":"https://github.com/citation-style-language/schema/raw/master/csl-citation.json"}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(Palm and Kruve, 2022)</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showed it applied to unknowns’ quantitation in LC/HRMS workflows, while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{"citationID":"Jjegedd3","properties":{"formattedCitation":"(Born et al., 2023)","plainCitation":"(Born et al., 2023)","noteIndex":0},"citationItems":[{"id":249,"uris":["http://zotero.org/users/local/PQz9MTWE/items/IUX3B7X3"],"itemData":{"id":249,"type":"article-journal","container-title":"Digital Discovery","DOI":"10.1039/D2DD00099G","issue":"3","language":"en","note":"publisher: Royal Society of Chemistry","page":"674-691","source":"pubs.rsc.org","title":"v","volume":"2","author":[{"family":"Born","given":"Jannis"},{"family":"Markert","given":"Greta"},{"family":"Janakarajan","given":"Nikita"},{"family":"B. Kimber","given":"Talia"},{"family":"Volkamer","given":"Andrea"},{"family":"Rodríguez Martínez","given":"María"},{"family":"Manica","given":"Matteo"}],"issued":{"date-parts":[["2023"]]}}}],"schema":"https://github.com/citation-style-language/schema/raw/master/csl-citation.json"}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(Born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integrated ML into digital discovery platforms for chemical investigation. Graph Neural Networks (GNNs) are advanced techniques that can be trained from molecular graphs directly, which is a direction of great hope for future toxicology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{"citationID":"GpSnPfdU","properties":{"formattedCitation":"(Rong et al., 2020)","plainCitation":"(Rong et al., 2020)","noteIndex":0},"citationItems":[{"id":265,"uris":["http://zotero.org/users/local/PQz9MTWE/items/6ABQSSKS"],"itemData":{"id":265,"type":"article","abstract":"How to obtain informative representations of molecules is a crucial prerequisite in AI-driven drug design and discovery. Recent researches abstract molecules as graphs and employ Graph Neural Networks (GNNs) for molecular representation learning. Nevertheless, two issues impede the usage of GNNs in real scenarios: (1) insufficient labeled molecules for supervised training; (2) poor generalization capability to new-synthesized molecules. To address them both, we propose a novel framework, GROVER, which stands for Graph Representation frOm self-superVised mEssage passing tRansformer. With carefully designed self-supervised tasks in node-, edge- and graph-level, GROVER can learn rich structural and semantic information of molecules from enormous unlabelled molecular data. Rather, to encode such complex information, GROVER integrates Message Passing Networks into the Transformer-style architecture to deliver a class of more expressive encoders of molecules. The flexibility of GROVER allows it to be trained efficiently on large-scale molecular dataset without requiring any supervision, thus being immunized to the two issues mentioned above. We pre-train GROVER with 100 million parameters on 10 million unlabelled molecules -- the biggest GNN and the largest training dataset in molecular representation learning. We then leverage the pre-trained GROVER for molecular property prediction followed by task-specific fine-tuning, where we observe a huge improvement (more than 6% on average) from current state-of-the-art methods on 11 challenging benchmarks. The insights we gained are that well-designed self-supervision losses and largely-expressive pre-trained models enjoy the significant potential on performance boosting.","DOI":"10.48550/arXiv.2007.02835","note":"arXiv:2007.02835 [q-bio]","number":"arXiv:2007.02835","publisher":"arXiv","source":"arXiv.org","title":"Self-Supervised Graph Transformer on Large-Scale Molecular Data","URL":"http://arxiv.org/abs/2007.02835","author":[{"family":"Rong","given":"Yu"},{"family":"Bian","given":"Yatao"},{"family":"Xu","given":"Tingyang"},{"family":"Xie","given":"Weiyang"},{"family":"Wei","given":"Ying"},{"family":"Huang","given":"Wenbing"},{"family":"Huang","given":"Junzhou"}],"accessed":{"date-parts":[["2025",5,2]]},"issued":{"date-parts":[["2020",10,29]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(Rong et al., 2020)</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BF56B92" w14:textId="77777777" w:rsidR="009F3870" w:rsidRPr="002B771C" w:rsidRDefault="009F3870" w:rsidP="009F3870">
      <w:pPr>
        <w:spacing w:after="0"/>
        <w:jc w:val="both"/>
        <w:rPr>
          <w:rFonts w:ascii="Times New Roman" w:hAnsi="Times New Roman" w:cs="Times New Roman"/>
          <w:sz w:val="24"/>
          <w:szCs w:val="24"/>
        </w:rPr>
      </w:pPr>
    </w:p>
    <w:p w14:paraId="712C990D" w14:textId="77777777" w:rsidR="009F3870" w:rsidRPr="002B771C" w:rsidRDefault="009F3870" w:rsidP="009F3870">
      <w:pPr>
        <w:spacing w:after="0"/>
        <w:jc w:val="both"/>
        <w:rPr>
          <w:rFonts w:ascii="Times New Roman" w:hAnsi="Times New Roman" w:cs="Times New Roman"/>
          <w:sz w:val="20"/>
          <w:szCs w:val="20"/>
        </w:rPr>
      </w:pPr>
      <w:r w:rsidRPr="002B771C">
        <w:rPr>
          <w:rFonts w:ascii="Times New Roman" w:hAnsi="Times New Roman" w:cs="Times New Roman"/>
          <w:sz w:val="24"/>
          <w:szCs w:val="24"/>
        </w:rPr>
        <w:t>Together, these studies demonstrate how ML, from ensemble models to deep learning, and most recently to GNNs, is transforming toxicology with predictive, interpretable, and scalable assessments that benefit regulatory screening as well as hypothesis generation.</w:t>
      </w:r>
    </w:p>
    <w:p w14:paraId="56F87FD5" w14:textId="77777777" w:rsidR="009F3870" w:rsidRPr="00464F18" w:rsidRDefault="009F3870" w:rsidP="009F3870">
      <w:pPr>
        <w:spacing w:after="0"/>
        <w:jc w:val="both"/>
        <w:rPr>
          <w:rFonts w:ascii="Times New Roman" w:hAnsi="Times New Roman" w:cs="Times New Roman"/>
        </w:rPr>
      </w:pPr>
    </w:p>
    <w:p w14:paraId="164CEED1" w14:textId="77777777" w:rsidR="009F3870" w:rsidRPr="006D31C3" w:rsidRDefault="009F3870" w:rsidP="009F3870">
      <w:pPr>
        <w:spacing w:after="0"/>
        <w:jc w:val="both"/>
        <w:rPr>
          <w:rFonts w:ascii="Times New Roman" w:hAnsi="Times New Roman" w:cs="Times New Roman"/>
          <w:b/>
          <w:bCs/>
          <w:sz w:val="28"/>
          <w:szCs w:val="28"/>
        </w:rPr>
      </w:pPr>
      <w:r w:rsidRPr="006D31C3">
        <w:rPr>
          <w:rFonts w:ascii="Times New Roman" w:hAnsi="Times New Roman" w:cs="Times New Roman"/>
          <w:b/>
          <w:bCs/>
          <w:sz w:val="28"/>
          <w:szCs w:val="28"/>
        </w:rPr>
        <w:t>1.5 Bridging Prediction and Reality: Validation Using Mass Spectrometry Data</w:t>
      </w:r>
    </w:p>
    <w:p w14:paraId="207272A3" w14:textId="77777777" w:rsidR="009F3870" w:rsidRPr="006D31C3" w:rsidRDefault="009F3870" w:rsidP="009F3870">
      <w:pPr>
        <w:spacing w:after="0"/>
        <w:jc w:val="both"/>
        <w:rPr>
          <w:rFonts w:ascii="Times New Roman" w:hAnsi="Times New Roman" w:cs="Times New Roman"/>
          <w:b/>
          <w:bCs/>
          <w:sz w:val="28"/>
          <w:szCs w:val="28"/>
        </w:rPr>
      </w:pPr>
    </w:p>
    <w:p w14:paraId="61A49F38"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Predictive models are meaningful only if they reflect real-world chemical exposures, not curated datasets. Environmental toxicology has generally employed liquid chromatography–tandem mass spectrometry (LC-MS/MS), distinguishing between molecules and disassembling them into ions to provide very high-resolution chemical fingerprints. These methods are crucial to Secondary Organic Aerosol (SOA) analysis, which is of great importance to generating fine particulate matter (PM₂.₅) and is a well-established health problem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{"citationID":"Ej1NNIZh","properties":{"formattedCitation":"(Shrivastava et al., 2017; Witkowski and Gierczak, 2017)","plainCitation":"(Shrivastava et al., 2017; Witkowski and Gierczak,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D4745B">
        <w:rPr>
          <w:rFonts w:ascii="Times New Roman" w:hAnsi="Times New Roman" w:cs="Times New Roman"/>
          <w:sz w:val="24"/>
        </w:rPr>
        <w:t>(Shrivastava et al., 2017; Witkowski and Gierczak, 2017)</w:t>
      </w:r>
      <w:r>
        <w:rPr>
          <w:rFonts w:ascii="Times New Roman" w:hAnsi="Times New Roman" w:cs="Times New Roman"/>
          <w:sz w:val="24"/>
          <w:szCs w:val="24"/>
        </w:rPr>
        <w:fldChar w:fldCharType="end"/>
      </w:r>
      <w:r w:rsidRPr="006D31C3">
        <w:rPr>
          <w:rFonts w:ascii="Times New Roman" w:hAnsi="Times New Roman" w:cs="Times New Roman"/>
          <w:sz w:val="24"/>
          <w:szCs w:val="24"/>
        </w:rPr>
        <w:t>. The majority of SOA-derived chemicals remain to be characterised, with incomplete coverage in regulatory databases, and LC-MS/MS is instrumental in expanding the observable chemical world.</w:t>
      </w:r>
    </w:p>
    <w:p w14:paraId="037D168B" w14:textId="77777777" w:rsidR="009F3870" w:rsidRPr="006D31C3" w:rsidRDefault="009F3870" w:rsidP="009F3870">
      <w:pPr>
        <w:spacing w:after="0"/>
        <w:jc w:val="both"/>
        <w:rPr>
          <w:rFonts w:ascii="Times New Roman" w:hAnsi="Times New Roman" w:cs="Times New Roman"/>
          <w:sz w:val="24"/>
          <w:szCs w:val="24"/>
        </w:rPr>
      </w:pPr>
    </w:p>
    <w:p w14:paraId="70D674E3"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Fragmentation patterns in tandem mass spectrometry (MS² or MS/MS) hold structural information that can be interpreted through computation. Software such as SIRIUS and </w:t>
      </w:r>
      <w:proofErr w:type="spellStart"/>
      <w:r w:rsidRPr="006D31C3">
        <w:rPr>
          <w:rFonts w:ascii="Times New Roman" w:hAnsi="Times New Roman" w:cs="Times New Roman"/>
          <w:sz w:val="24"/>
          <w:szCs w:val="24"/>
        </w:rPr>
        <w:t>CSI:FingerID</w:t>
      </w:r>
      <w:proofErr w:type="spellEnd"/>
      <w:r w:rsidRPr="006D31C3">
        <w:rPr>
          <w:rFonts w:ascii="Times New Roman" w:hAnsi="Times New Roman" w:cs="Times New Roman"/>
          <w:sz w:val="24"/>
          <w:szCs w:val="24"/>
        </w:rPr>
        <w:t xml:space="preserve"> are classic examples of this procedure in constructing molecular formulas and predicting substructural fingerprints from spectra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{"citationID":"UU4bGkch","properties":{"formattedCitation":"(D\\uc0\\u252{}hrkop et al., 2019, 2015)","plainCitation":"(Dührkop et al., 2019, 2015)","noteIndex":0},"citationItems":[{"id":133,"uris":["http://zotero.org/users/local/PQz9MTWE/items/JZRIN4AM"],"itemData":{"id":133,"type":"article-journal","abstract":"Mass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C."},{"family":"Rousu","given":"Juho"},{"family":"Böcker","given":"Sebastian"}],"issued":{"date-parts":[["2019",4]]}}},{"id":281,"uris":["http://zotero.org/users/local/PQz9MTWE/items/CXJZ2XRY"],"itemData":{"id":281,"type":"article-journal","abstract":"Metabolites provide a direct functional signature of cellular state. Untargeted metabolomics experiments usually rely on tandem MS to identify the thousands of compounds in a biological sample. Today, the vast majority of metabolites remain unknown. We present a method for searching molecular structure databases using tandem MS data of small molecules. Our method computes a fragmentation tree that best explains the fragmentation spectrum of an unknown molecule. We use the fragmentation tree to predict the molecular structure fingerprint of the unknown compound using machine learning. This fingerprint is then used to search a molecular structure database such as PubChem. Our method is shown to improve on the competing methods for computational metabolite identification by a considerable margin.","container-title":"Proceedings of the National Academy of Sciences","DOI":"10.1073/pnas.1509788112","issue":"41","note":"publisher: Proceedings of the National Academy of Sciences","page":"12580-12585","source":"pnas.org (Atypon)","title":"Searching molecular structure databases with tandem mass spectra using CSI:FingerID","title-short":"Searching molecular structure databases with tandem mass spectra using CSI","volume":"112","author":[{"family":"Dührkop","given":"Kai"},{"family":"Shen","given":"Huibin"},{"family":"Meusel","given":"Marvin"},{"family":"Rousu","given":"Juho"},{"family":"Böcker","given":"Sebastian"}],"issued":{"date-parts":[["2015",10,13]]}}}],"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(Dührkop et al., 2019, 2015)</w:t>
      </w:r>
      <w:r>
        <w:rPr>
          <w:rFonts w:ascii="Times New Roman" w:hAnsi="Times New Roman" w:cs="Times New Roman"/>
          <w:sz w:val="24"/>
          <w:szCs w:val="24"/>
        </w:rPr>
        <w:fldChar w:fldCharType="end"/>
      </w:r>
      <w:r w:rsidRPr="006D31C3">
        <w:rPr>
          <w:rFonts w:ascii="Times New Roman" w:hAnsi="Times New Roman" w:cs="Times New Roman"/>
          <w:sz w:val="24"/>
          <w:szCs w:val="24"/>
        </w:rPr>
        <w:t xml:space="preserve">. Subsequent results may then be integrated into machine learning models, with the spectral fingerprints being used to predict potential toxicological attributes. For example, MS2Tox demonstrates </w:t>
      </w:r>
      <w:r w:rsidRPr="006D31C3">
        <w:rPr>
          <w:rFonts w:ascii="Times New Roman" w:hAnsi="Times New Roman" w:cs="Times New Roman"/>
          <w:sz w:val="24"/>
          <w:szCs w:val="24"/>
        </w:rPr>
        <w:lastRenderedPageBreak/>
        <w:t xml:space="preserve">that ecotoxicity may be predicted with </w:t>
      </w:r>
      <w:proofErr w:type="spellStart"/>
      <w:r w:rsidRPr="006D31C3">
        <w:rPr>
          <w:rFonts w:ascii="Times New Roman" w:hAnsi="Times New Roman" w:cs="Times New Roman"/>
          <w:sz w:val="24"/>
          <w:szCs w:val="24"/>
        </w:rPr>
        <w:t>XGBoost</w:t>
      </w:r>
      <w:proofErr w:type="spellEnd"/>
      <w:r w:rsidRPr="006D31C3">
        <w:rPr>
          <w:rFonts w:ascii="Times New Roman" w:hAnsi="Times New Roman" w:cs="Times New Roman"/>
          <w:sz w:val="24"/>
          <w:szCs w:val="24"/>
        </w:rPr>
        <w:t xml:space="preserve"> on MS²-derived fingerprints to extend risk assessment even to previously unknown compounds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{"citationID":"ikp96qPJ","properties":{"formattedCitation":"(Peets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(Peets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6E4F109D" w14:textId="77777777" w:rsidR="009F3870" w:rsidRPr="006D31C3" w:rsidRDefault="009F3870" w:rsidP="009F3870">
      <w:pPr>
        <w:spacing w:after="0"/>
        <w:jc w:val="both"/>
        <w:rPr>
          <w:rFonts w:ascii="Times New Roman" w:hAnsi="Times New Roman" w:cs="Times New Roman"/>
          <w:sz w:val="24"/>
          <w:szCs w:val="24"/>
        </w:rPr>
      </w:pPr>
    </w:p>
    <w:p w14:paraId="6A3D4374" w14:textId="77777777" w:rsidR="009F3870" w:rsidRPr="006D31C3" w:rsidRDefault="009F3870" w:rsidP="009F3870">
      <w:pPr>
        <w:spacing w:after="0"/>
        <w:jc w:val="both"/>
        <w:rPr>
          <w:rFonts w:ascii="Times New Roman" w:hAnsi="Times New Roman" w:cs="Times New Roman"/>
        </w:rPr>
      </w:pPr>
      <w:r w:rsidRPr="006D31C3">
        <w:rPr>
          <w:rFonts w:ascii="Times New Roman" w:hAnsi="Times New Roman" w:cs="Times New Roman"/>
          <w:sz w:val="24"/>
          <w:szCs w:val="24"/>
        </w:rPr>
        <w:t xml:space="preserve">Building on such methods, this study will explore whether LCSB </w:t>
      </w:r>
      <w:proofErr w:type="spellStart"/>
      <w:r w:rsidRPr="006D31C3">
        <w:rPr>
          <w:rFonts w:ascii="Times New Roman" w:hAnsi="Times New Roman" w:cs="Times New Roman"/>
          <w:sz w:val="24"/>
          <w:szCs w:val="24"/>
        </w:rPr>
        <w:t>MassBank</w:t>
      </w:r>
      <w:proofErr w:type="spellEnd"/>
      <w:r w:rsidRPr="006D31C3">
        <w:rPr>
          <w:rFonts w:ascii="Times New Roman" w:hAnsi="Times New Roman" w:cs="Times New Roman"/>
          <w:sz w:val="24"/>
          <w:szCs w:val="24"/>
        </w:rPr>
        <w:t xml:space="preserve"> LC-MS/MS data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{"citationID":"uw7NXexF","properties":{"formattedCitation":"(Elapavalore et al., 2023)","plainCitation":"(Elapavalore et al., 2023)","noteIndex":0},"citationItems":[{"id":861,"uris":["http://zotero.org/users/local/PQz9MTWE/items/33EXL5BK"],"itemData":{"id":861,"type":"article-journal","abstract":"The term “exposome” is defined as a comprehensive study of life-course environmental exposures and the associated biological responses. Humans are exposed to many different chemicals, which can pose a major threat to the well-being of humanity. Targeted or non-targeted mass spectrometry techniques are widely used to identify and characterize various environmental stressors when linking exposures to human health. However, identification remains challenging due to the huge chemical space applicable to exposomics, combined with the lack of sufficient relevant entries in spectral libraries. Addressing these challenges requires cheminformatics tools and database resources to share curated open spectral data on chemicals to improve the identification of chemicals in exposomics studies. This article describes efforts to contribute spectra relevant for exposomics to the open mass spectral library MassBank (https://www.massbank.eu) using various open source software efforts, including the R packages RMassBank and Shinyscreen. The experimental spectra were obtained from ten mixtures containing toxicologically relevant chemicals from the US Environmental Protection Agency (EPA) Non-Targeted Analysis Collaborative Trial (ENTACT). Following processing and curation, 5582 spectra from 783 of the 1268 ENTACT compounds were added to MassBank, and through this to other open spectral libraries (e.g., MoNA, GNPS) for community benefit. Additionally, an automated deposition and annotation workflow was developed with PubChem to enable the display of all MassBank mass spectra in PubChem, which is rerun with each MassBank release. The new spectral records have already been used in several studies to increase the confidence in identification in non-target small molecule identification workflows applied to environmental and exposomics research.","container-title":"Environmental Science: Processes &amp; Impacts","DOI":"10.1039/D3EM00181D","ISSN":"2050-7895","issue":"11","journalAbbreviation":"Environ. Sci.: Processes Impacts","language":"en","note":"publisher: The Royal Society of Chemistry","page":"1788-1801","source":"pubs.rsc.org","title":"Adding open spectral data to MassBank and PubChem using open source tools to support non-targeted exposomics of mixtures","volume":"25","author":[{"family":"Elapavalore","given":"Anjana"},{"family":"Kondić","given":"Todor"},{"family":"Singh","given":"Randolph R."},{"family":"Shoemaker","given":"Benjamin A."},{"family":"Thiessen","given":"Paul A."},{"family":"Zhang","given":"Jian"},{"family":"Bolton","given":"Evan E."},{"family":"Schymanski","given":"Emma L."}],"issued":{"date-parts":[["2023",11,15]]}}}],"schema":"https://github.com/citation-style-language/schema/raw/master/csl-citation.json"}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w:t>
      </w:r>
      <w:proofErr w:type="spellStart"/>
      <w:r w:rsidRPr="006D31C3">
        <w:rPr>
          <w:rFonts w:ascii="Times New Roman" w:hAnsi="Times New Roman" w:cs="Times New Roman"/>
          <w:sz w:val="24"/>
        </w:rPr>
        <w:t>Elapavalore</w:t>
      </w:r>
      <w:proofErr w:type="spellEnd"/>
      <w:r w:rsidRPr="006D31C3">
        <w:rPr>
          <w:rFonts w:ascii="Times New Roman" w:hAnsi="Times New Roman" w:cs="Times New Roman"/>
          <w:sz w:val="24"/>
        </w:rPr>
        <w:t xml:space="preserve">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D31C3">
        <w:rPr>
          <w:rFonts w:ascii="Times New Roman" w:hAnsi="Times New Roman" w:cs="Times New Roman"/>
          <w:sz w:val="24"/>
          <w:szCs w:val="24"/>
        </w:rPr>
        <w:t>could be interpreted using spectral interpretation software to generate fingerprints, which in turn could be utilized to inform predictive carcinogenicity models. By doing this, the study aims to align lab-based predictions better with environmental exposures as they happen, while also continuing to facilitate the application of computational toxicology in chemical risk assessment.</w:t>
      </w:r>
    </w:p>
    <w:p w14:paraId="4B51B30C" w14:textId="77777777" w:rsidR="009F3870" w:rsidRPr="005B23B3" w:rsidRDefault="009F3870" w:rsidP="009F3870">
      <w:pPr>
        <w:spacing w:after="0"/>
        <w:rPr>
          <w:rFonts w:ascii="Times New Roman" w:hAnsi="Times New Roman" w:cs="Times New Roman"/>
          <w:sz w:val="24"/>
          <w:szCs w:val="24"/>
        </w:rPr>
      </w:pPr>
    </w:p>
    <w:p w14:paraId="184EC182" w14:textId="77777777" w:rsidR="009F3870" w:rsidRPr="0035168C" w:rsidRDefault="009F3870" w:rsidP="009F3870">
      <w:pPr>
        <w:spacing w:after="0"/>
        <w:jc w:val="both"/>
        <w:rPr>
          <w:rFonts w:ascii="Times New Roman" w:hAnsi="Times New Roman" w:cs="Times New Roman"/>
          <w:b/>
          <w:bCs/>
          <w:sz w:val="28"/>
          <w:szCs w:val="28"/>
        </w:rPr>
      </w:pPr>
      <w:r w:rsidRPr="0035168C">
        <w:rPr>
          <w:rFonts w:ascii="Times New Roman" w:hAnsi="Times New Roman" w:cs="Times New Roman"/>
          <w:b/>
          <w:bCs/>
          <w:sz w:val="28"/>
          <w:szCs w:val="28"/>
        </w:rPr>
        <w:t>1.6 Why This Research Matters: Safer Air Through Smarter Models</w:t>
      </w:r>
    </w:p>
    <w:p w14:paraId="20624C27" w14:textId="77777777" w:rsidR="009F3870" w:rsidRPr="0035168C" w:rsidRDefault="009F3870" w:rsidP="009F3870">
      <w:pPr>
        <w:spacing w:after="0"/>
        <w:jc w:val="both"/>
        <w:rPr>
          <w:rFonts w:ascii="Times New Roman" w:hAnsi="Times New Roman" w:cs="Times New Roman"/>
          <w:b/>
          <w:bCs/>
          <w:sz w:val="28"/>
          <w:szCs w:val="28"/>
        </w:rPr>
      </w:pPr>
    </w:p>
    <w:p w14:paraId="76104949" w14:textId="3510FEEC" w:rsidR="009F3870" w:rsidRPr="0035168C" w:rsidRDefault="009F3870" w:rsidP="009F3870">
      <w:pPr>
        <w:spacing w:after="0"/>
        <w:jc w:val="both"/>
        <w:rPr>
          <w:rFonts w:ascii="Times New Roman" w:hAnsi="Times New Roman" w:cs="Times New Roman"/>
        </w:rPr>
      </w:pPr>
      <w:r w:rsidRPr="0035168C">
        <w:rPr>
          <w:rFonts w:ascii="Times New Roman" w:hAnsi="Times New Roman" w:cs="Times New Roman"/>
          <w:sz w:val="24"/>
          <w:szCs w:val="24"/>
        </w:rPr>
        <w:t>The air pollutant mix contains thousands of chemicals, but very few have been tested to see if they are carcinogens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{"citationID":"b1HeDGUE","properties":{"formattedCitation":"(Thomas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(Thomas et al.,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Traditional animal testing is time-consuming, expensive, and ethically </w:t>
      </w:r>
      <w:r w:rsidR="0069440D" w:rsidRPr="0069440D">
        <w:rPr>
          <w:rFonts w:ascii="Times New Roman" w:hAnsi="Times New Roman" w:cs="Times New Roman"/>
          <w:sz w:val="24"/>
          <w:szCs w:val="24"/>
        </w:rPr>
        <w:t>questionable</w:t>
      </w:r>
      <w:r w:rsidRPr="003516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{"citationID":"WgAJpYny","properties":{"formattedCitation":"(Basketter et al., 2012; Zeiger, 2019)","plainCitation":"(Basketter et al., 2012; Zeiger, 2019)","noteIndex":0},"citationItems":[{"id":646,"uris":["http://zotero.org/users/local/PQz9MTWE/items/GJH3TQFK"],"itemData":{"id":646,"type":"article-journal","abstract":"Systemic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(Basketter et al., 2012; Zeiger,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Newer methods, such as high-throughput screening (HTS) and computer toxicology, can screen more rapidly, in volume, and with minimal reference to animal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{"citationID":"BhpiH8xd","properties":{"formattedCitation":"(Jaworska and Hoffmann, 2010; OECD, 2016)","plainCitation":"(Jaworska and Hoffmann, 2010; OECD, 2016)","noteIndex":0},"citationItems":[{"id":576,"uris":["http://zotero.org/users/local/PQz9MTWE/items/CLJHITWI"],"itemData":{"id":576,"type":"article-journal","abstract":"The topic of Integrated Testing Strategies (ITS) has attracted considerable attention, and not only because it is supposed to be a central element of REACH, the ambitious European chemical regulation effort. Although what ITSs are supposed to do seems unambiguous, i.e. speeding up hazard and risk assessment while reducing testing costs, not much has been said, except basic conceptual proposals, about the methodologies that would allow execution of these concepts. Although a pressing concern, the topic of ITS has drawn mostly general reviews, broad concepts, and the expression of a clear need for more research on ITS. Published research in the field remains scarce. Solutions for ITS design emerge slowly, most likely due to the methodological challenges of the task, and perhaps also to it its complexity and the need for multidisciplinary collaboration. Along with the challenge, ITS offer a unique opportunity to contribute to the Toxicology of the 21st century by providing frameworks and tools to actually implement 21st century toxicology data in the chemical management and decision making processes. Further, ITS have the potential to significantly contribute to a modernization of the science of risk assessment. Therefore, to advance ITS research we propose a methodical approach to their design and will discuss currently available approaches as well as challenges to overcome. To this end, we define a framework for ITS that will inform toxicological decisions in a systematic, transparent, and consistent way. We review conceptual requirements for ITS developed earlier and present a roadmap to an operational framework that should be probabilistic, hypothesis-driven, and adaptive. Furthermore, we define properties an ITS should have in order to meet the identified requirements and differentiate them from evidence synthesis. Making use of an ITS for skin sensitization, we demonstrate how the proposed ITS concepts can be implemented.","container-title":"ALTEX - Alternatives to animal experimentation","DOI":"10.14573/altex.2010.4.231","ISSN":"1868-8551","issue":"4","language":"en","license":"Copyright (c) 2010 The author(s)","note":"number: 4","page":"231-242","source":"www.altex.org","title":"Integrated Testing Strategy (ITS) – opportunities to better use existing data and guide future testing in toxicology","volume":"27","author":[{"family":"Jaworska","given":"Joanna"},{"family":"Hoffmann","given":"Sebastian"}],"issued":{"date-parts":[["2010",11,1]]}}},{"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(Jaworska and Hoffmann, 2010; OECD, 2016)</w:t>
      </w:r>
      <w:r>
        <w:rPr>
          <w:rFonts w:ascii="Times New Roman" w:hAnsi="Times New Roman" w:cs="Times New Roman"/>
          <w:sz w:val="24"/>
          <w:szCs w:val="24"/>
        </w:rPr>
        <w:fldChar w:fldCharType="end"/>
      </w:r>
    </w:p>
    <w:p w14:paraId="69D85C8B" w14:textId="77777777" w:rsidR="009F3870" w:rsidRPr="008157EA" w:rsidRDefault="009F3870" w:rsidP="009F3870">
      <w:pPr>
        <w:spacing w:after="0"/>
        <w:jc w:val="both"/>
        <w:rPr>
          <w:rFonts w:ascii="Times New Roman" w:hAnsi="Times New Roman" w:cs="Times New Roman"/>
          <w:sz w:val="24"/>
          <w:szCs w:val="24"/>
        </w:rPr>
      </w:pPr>
    </w:p>
    <w:p w14:paraId="2C633769"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The aim of this work is to build a machine learning model that can predict atmospheric chemicals' carcinogenicity based on molecular fingerprints and p53 assay data. The model provides a faster, scalable alternative to traditional toxicology methods. A machine learning algorithm, </w:t>
      </w:r>
      <w:proofErr w:type="spellStart"/>
      <w:r w:rsidRPr="008157EA">
        <w:rPr>
          <w:rFonts w:ascii="Times New Roman" w:hAnsi="Times New Roman" w:cs="Times New Roman"/>
          <w:sz w:val="24"/>
          <w:szCs w:val="24"/>
        </w:rPr>
        <w:t>XGBoost</w:t>
      </w:r>
      <w:proofErr w:type="spellEnd"/>
      <w:r w:rsidRPr="008157EA">
        <w:rPr>
          <w:rFonts w:ascii="Times New Roman" w:hAnsi="Times New Roman" w:cs="Times New Roman"/>
          <w:sz w:val="24"/>
          <w:szCs w:val="24"/>
        </w:rPr>
        <w:t>, is employed in this research to predict whether a chemical will or will not interfere with a cancer-related biological pathway, from its molecular "fingerprints" and high-throughput screening information. Molecular fingerprints are quantitative descriptors that represent the structure of a molecule in a computer-processable way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{"citationID":"VqDlzQTb","properties":{"formattedCitation":"(Guha, 2007)","plainCitation":"(Guha, 2007)","noteIndex":0},"citationItems":[{"id":670,"uris":["http://zotero.org/users/local/PQz9MTWE/items/7IQYDLZU"],"itemData":{"id":670,"type":"document","title":"Chemical Informatics Functionality in R","URL":"https://www.jstatsoft.org/article/view/v018i05","author":[{"family":"Guha","given":"Rajarshi"}],"issued":{"date-parts":[["2007"]]}}}],"schema":"https://github.com/citation-style-language/schema/raw/master/csl-citation.json"} </w:instrText>
      </w:r>
      <w:r>
        <w:rPr>
          <w:rFonts w:ascii="Times New Roman" w:hAnsi="Times New Roman" w:cs="Times New Roman"/>
          <w:sz w:val="24"/>
          <w:szCs w:val="24"/>
        </w:rPr>
        <w:fldChar w:fldCharType="separate"/>
      </w:r>
      <w:r w:rsidRPr="001838B7">
        <w:rPr>
          <w:rFonts w:ascii="Times New Roman" w:hAnsi="Times New Roman" w:cs="Times New Roman"/>
          <w:sz w:val="24"/>
        </w:rPr>
        <w:t>(Guha, 2007)</w:t>
      </w:r>
      <w:r>
        <w:rPr>
          <w:rFonts w:ascii="Times New Roman" w:hAnsi="Times New Roman" w:cs="Times New Roman"/>
          <w:sz w:val="24"/>
          <w:szCs w:val="24"/>
        </w:rPr>
        <w:fldChar w:fldCharType="end"/>
      </w:r>
      <w:r w:rsidRPr="008157EA">
        <w:rPr>
          <w:rFonts w:ascii="Times New Roman" w:hAnsi="Times New Roman" w:cs="Times New Roman"/>
          <w:sz w:val="24"/>
          <w:szCs w:val="24"/>
        </w:rPr>
        <w:t xml:space="preserve">. High-throughput assays are laboratory tests that are computer controlled and quickly assay the number of chemicals that have an effect on a specific biological process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{"citationID":"F7KzBZJ3","properties":{"formattedCitation":"(Kavlock et al., 2008)","plainCitation":"(Kavlock et al., 2008)","noteIndex":0},"citationItems":[{"id":769,"uris":["http://zotero.org/users/local/PQz9MTWE/items/KV5AGKDU"],"itemData":{"id":769,"type":"article-journal","abstract":"Advances in computer sciences and hardware combined with equally significant developments in molecular biology and chemistry are providing toxicology with a powerful new tool box. This tool box of computational models promises to increase the efficiency and the effectiveness by which the hazards and risks of environmental chemicals are determined. Computational toxicology focuses on applying these tools across many scales, including vastly increasing the numbers of chemicals and the types of biological interactions that can be evaluated. In addition, knowledge of toxicity pathways gathered within the tool box will be directly applicable to the study of the biological responses across a range of dose levels, including those more likely to be representative of exposures to the human population. Progress in this field will facilitate the transformative shift called for in the recent report on toxicology in the 21st century by the National Research Council. This review surveys the state of the art in many areas of computational toxicology and points to several hurdles that will be important to overcome as the field moves forward. Proof-of-concept studies need to clearly demonstrate the additional predictive power gained from these tools. More researchers need to become comfortable working with both the data generating tools and the computational modeling capabilities, and regulatory authorities must show a willingness to the embrace new approaches as they gain scientific acceptance. The next few years should witness the early fruits of these efforts, but as the National Research Council indicates, the paradigm shift will take a long term investment and commitment to reach full potential.","container-title":"Toxicological Sciences","DOI":"10.1093/toxsci/kfm297","ISSN":"1096-6080","issue":"1","journalAbbreviation":"Toxicol Sci","page":"14-27","source":"Silverchair","title":"Computational Toxicology—A State of the Science Mini Review","volume":"103","author":[{"family":"Kavlock","given":"Robert J."},{"family":"Ankley","given":"Gerald"},{"family":"Blancato","given":"Jerry"},{"family":"Breen","given":"Michael"},{"family":"Conolly","given":"Rory"},{"family":"Dix","given":"David"},{"family":"Houck","given":"Keith"},{"family":"Hubal","given":"Elaine"},{"family":"Judson","given":"Richard"},{"family":"Rabinowitz","given":"James"},{"family":"Richard","given":"Ann"},{"family":"Setzer","given":"R. Woodrow"},{"family":"Shah","given":"Imran"},{"family":"Villeneuve","given":"Daniel"},{"family":"Weber","given":"Eric"}],"issued":{"date-parts":[["2008",5,1]]}}}],"schema":"https://github.com/citation-style-language/schema/raw/master/csl-citation.json"} </w:instrText>
      </w:r>
      <w:r>
        <w:rPr>
          <w:rFonts w:ascii="Times New Roman" w:hAnsi="Times New Roman" w:cs="Times New Roman"/>
          <w:sz w:val="24"/>
          <w:szCs w:val="24"/>
        </w:rPr>
        <w:fldChar w:fldCharType="separate"/>
      </w:r>
      <w:r w:rsidRPr="00901E5A">
        <w:rPr>
          <w:rFonts w:ascii="Times New Roman" w:hAnsi="Times New Roman" w:cs="Times New Roman"/>
          <w:sz w:val="24"/>
        </w:rPr>
        <w:t>(Kavlock et al., 2008)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755174BC" w14:textId="77777777" w:rsidR="009F3870" w:rsidRPr="008157EA" w:rsidRDefault="009F3870" w:rsidP="009F3870">
      <w:pPr>
        <w:spacing w:after="0"/>
        <w:jc w:val="both"/>
        <w:rPr>
          <w:rFonts w:ascii="Times New Roman" w:hAnsi="Times New Roman" w:cs="Times New Roman"/>
          <w:sz w:val="24"/>
          <w:szCs w:val="24"/>
        </w:rPr>
      </w:pPr>
    </w:p>
    <w:p w14:paraId="50F835F9"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To validate the model for real-world use, the model is also compared to analytical measurements of environmental samples conducted through tandem mass spectrometry (MS/MS). Computational models like </w:t>
      </w:r>
      <w:proofErr w:type="spellStart"/>
      <w:proofErr w:type="gramStart"/>
      <w:r w:rsidRPr="008157EA">
        <w:rPr>
          <w:rFonts w:ascii="Times New Roman" w:hAnsi="Times New Roman" w:cs="Times New Roman"/>
          <w:sz w:val="24"/>
          <w:szCs w:val="24"/>
        </w:rPr>
        <w:t>CSI:FingerID</w:t>
      </w:r>
      <w:proofErr w:type="spellEnd"/>
      <w:proofErr w:type="gramEnd"/>
      <w:r w:rsidRPr="008157EA">
        <w:rPr>
          <w:rFonts w:ascii="Times New Roman" w:hAnsi="Times New Roman" w:cs="Times New Roman"/>
          <w:sz w:val="24"/>
          <w:szCs w:val="24"/>
        </w:rPr>
        <w:t xml:space="preserve"> predict the chemical structures based on spectral patterns, similar to air monitoring research of pollutants.</w:t>
      </w:r>
    </w:p>
    <w:p w14:paraId="5D3B7E07" w14:textId="77777777" w:rsidR="009F3870" w:rsidRPr="008157EA" w:rsidRDefault="009F3870" w:rsidP="009F3870">
      <w:pPr>
        <w:spacing w:after="0"/>
        <w:jc w:val="both"/>
        <w:rPr>
          <w:rFonts w:ascii="Times New Roman" w:hAnsi="Times New Roman" w:cs="Times New Roman"/>
          <w:sz w:val="24"/>
          <w:szCs w:val="24"/>
        </w:rPr>
      </w:pPr>
    </w:p>
    <w:p w14:paraId="4E5EB3F3"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This strategy underpins significant safety and ethics models, such as Next Generation Risk Assessment (NGRA) and the 3Rs principles of Replacement (wherever possible avoiding the use of animals), Reduction (minimising the number of animals used) and Refinement (reducing the harm caused by tests)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{"citationID":"0wTMnDBj","properties":{"formattedCitation":"(Russell and Burch, n.d.; Thomas et al., 2019)","plainCitation":"(Russell and Burch, n.d.; Thomas et al., 2019)","noteIndex":0},"citationItems":[{"id":825,"uris":["http://zotero.org/users/local/PQz9MTWE/items/V9C3A3KI"],"itemData":{"id":825,"type":"article-journal","language":"en","source":"Zotero","title":"The Principles of Humane Experimental Technique","author":[{"family":"Russell","given":"W M S"},{"family":"Burch","given":"R L"}]}},{"id":578,"uris":["http://zotero.org/users/local/PQz9MTWE/items/R86VH53F"],"itemData":{"id":578,"type":"article-journal","abstract":"The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2D73F5">
        <w:rPr>
          <w:rFonts w:ascii="Times New Roman" w:hAnsi="Times New Roman" w:cs="Times New Roman"/>
          <w:sz w:val="24"/>
        </w:rPr>
        <w:t>(Russell and Burch, n.d.; Thomas et al., 2019)</w:t>
      </w:r>
      <w:r>
        <w:rPr>
          <w:rFonts w:ascii="Times New Roman" w:hAnsi="Times New Roman" w:cs="Times New Roman"/>
          <w:sz w:val="24"/>
          <w:szCs w:val="24"/>
        </w:rPr>
        <w:fldChar w:fldCharType="end"/>
      </w:r>
      <w:r w:rsidRPr="008157EA">
        <w:rPr>
          <w:rFonts w:ascii="Times New Roman" w:hAnsi="Times New Roman" w:cs="Times New Roman"/>
          <w:sz w:val="24"/>
          <w:szCs w:val="24"/>
        </w:rPr>
        <w:t>. It is made to be reproducible and flexible in order for regulators and scientists to more accurately determine high-risk air pollutants with higher efficiency, particularly in industrially or traffic-influenced regions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{"citationID":"UTjKal33","properties":{"formattedCitation":"(Arturi and Hollender, 2023; Landrigan et al., 2018)","plainCitation":"(Arturi and Hollender, 2023; Landrigan et al., 2018)","noteIndex":0},"citationItems":[{"id":202,"uris":["http://zotero.org/users/local/PQz9MTWE/items/IWTYXQGJ"],"itemData":{"id":202,"type":"article-journal","abstract":"Nontarget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id":654,"uris":["http://zotero.org/users/local/PQz9MTWE/items/2F8HSLKJ"],"itemData":{"id":654,"type":"article-journal","container-title":"The Lancet","DOI":"10.1016/S0140-6736(17)32345-0","ISSN":"0140-6736, 1474-547X","issue":"10119","journalAbbreviation":"The Lancet","language":"English","note":"publisher: Elsevier\nPMID: 29056410","page":"462-512","source":"www.thelancet.com","title":"The Lancet Commission on pollution and health","volume":"391","author":[{"family":"Landrigan","given":"Philip J."},{"family":"Fuller","given":"Richard"},{"family":"Acosta","given":"Nereus J. R."},{"family":"Adeyi","given":"Olusoji"},{"family":"Arnold","given":"Robert"},{"family":"Basu","given":"Niladri (Nil)"},{"family":"Baldé","given":"Abdoulaye Bibi"},{"family":"Bertollini","given":"Roberto"},{"family":"Bose-O'Reilly","given":"Stephan"},{"family":"Boufford","given":"Jo Ivey"},{"family":"Breysse","given":"Patrick N."},{"family":"Chiles","given":"Thomas"},{"family":"Mahidol","given":"Chulabhorn"},{"family":"Coll-Seck","given":"Awa M."},{"family":"Cropper","given":"Maureen L."},{"family":"Fobil","given":"Julius"},{"family":"Fuster","given":"Valentin"},{"family":"Greenstone","given":"Michael"},{"family":"Haines","given":"Andy"},{"family":"Hanrahan","given":"David"},{"family":"Hunter","given":"David"},{"family":"Khare","given":"Mukesh"},{"family":"Krupnick","given":"Alan"},{"family":"Lanphear","given":"Bruce"},{"family":"Lohani","given":"Bindu"},{"family":"Martin","given":"Keith"},{"family":"Mathiasen","given":"Karen V."},{"family":"McTeer","given":"Maureen A."},{"family":"Murray","given":"Christopher J. L."},{"family":"Ndahimananjara","given":"Johanita D."},{"family":"Perera","given":"Frederica"},{"family":"Potočnik","given":"Janez"},{"family":"Preker","given":"Alexander S."},{"family":"Ramesh","given":"Jairam"},{"family":"Rockström","given":"Johan"},{"family":"Salinas","given":"Carlos"},{"family":"Samson","given":"Leona D."},{"family":"Sandilya","given":"Karti"},{"family":"Sly","given":"Peter D."},{"family":"Smith","given":"Kirk R."},{"family":"Steiner","given":"Achim"},{"family":"Stewart","given":"Richard B."},{"family":"Suk","given":"William A."},{"family":"Schayck","given":"Onno C. P.","dropping-particle":"van"},{"family":"Yadama","given":"Gautam N."},{"family":"Yumkella","given":"Kandeh"},{"family":"Zhong","given":"Ma"}],"issued":{"date-parts":[["2018",2,3]]}}}],"schema":"https://github.com/citation-style-language/schema/raw/master/csl-citation.json"} </w:instrText>
      </w:r>
      <w:r>
        <w:rPr>
          <w:rFonts w:ascii="Times New Roman" w:hAnsi="Times New Roman" w:cs="Times New Roman"/>
          <w:sz w:val="24"/>
          <w:szCs w:val="24"/>
        </w:rPr>
        <w:fldChar w:fldCharType="separate"/>
      </w:r>
      <w:r w:rsidRPr="003C4632">
        <w:rPr>
          <w:rFonts w:ascii="Times New Roman" w:hAnsi="Times New Roman" w:cs="Times New Roman"/>
          <w:sz w:val="24"/>
        </w:rPr>
        <w:t>(Arturi and Hollender, 2023; Landrigan et al., 2018)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222A5037" w14:textId="77777777" w:rsidR="009F3870" w:rsidRDefault="009F3870" w:rsidP="009F3870">
      <w:pPr>
        <w:spacing w:after="0"/>
        <w:rPr>
          <w:rFonts w:ascii="Times New Roman" w:hAnsi="Times New Roman" w:cs="Times New Roman"/>
          <w:sz w:val="24"/>
          <w:szCs w:val="24"/>
        </w:rPr>
      </w:pPr>
    </w:p>
    <w:p w14:paraId="4C5406C7"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 Data, Tools and Machine Learning Methodology</w:t>
      </w:r>
    </w:p>
    <w:p w14:paraId="4E94CDFE" w14:textId="77777777" w:rsidR="009F3870" w:rsidRPr="00883447" w:rsidRDefault="009F3870" w:rsidP="009F3870">
      <w:pPr>
        <w:spacing w:after="0"/>
        <w:rPr>
          <w:rFonts w:ascii="Times New Roman" w:hAnsi="Times New Roman" w:cs="Times New Roman"/>
          <w:sz w:val="24"/>
          <w:szCs w:val="24"/>
        </w:rPr>
      </w:pPr>
    </w:p>
    <w:p w14:paraId="3DAF70FA"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This subsection provides a detailed explanation of the data sources, cheminformatics feature engineering, machine learning strategy, and external validation protocols employed to </w:t>
      </w:r>
      <w:r w:rsidRPr="00883447">
        <w:rPr>
          <w:rFonts w:ascii="Times New Roman" w:hAnsi="Times New Roman" w:cs="Times New Roman"/>
          <w:sz w:val="24"/>
          <w:szCs w:val="24"/>
        </w:rPr>
        <w:lastRenderedPageBreak/>
        <w:t>construct a robust and interpretable predictive model of chemical carcinogenicity. The broad goal of this research is to predict the likelihood of an atmospheric organic compound activating the p53 tumour suppressor pathway, indicative of genotoxic and carcinogenic activity. The pipeline integrates publicly available high-throughput toxicological screens with cheminformatics-based structural descriptors, advanced machine learning algorithms, and external spectral fingerprint verification. Analyses were conducted using R version 4.3.1 on an open-source, reproducible computing environment.</w:t>
      </w:r>
    </w:p>
    <w:p w14:paraId="0E8DE949" w14:textId="77777777" w:rsidR="009F3870" w:rsidRPr="00883447" w:rsidRDefault="009F3870" w:rsidP="009F3870">
      <w:pPr>
        <w:spacing w:after="0"/>
        <w:rPr>
          <w:rFonts w:ascii="Times New Roman" w:hAnsi="Times New Roman" w:cs="Times New Roman"/>
          <w:sz w:val="24"/>
          <w:szCs w:val="24"/>
        </w:rPr>
      </w:pPr>
    </w:p>
    <w:p w14:paraId="753B4D6A"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2.1 Biological Reasoning and Data Collection</w:t>
      </w:r>
    </w:p>
    <w:p w14:paraId="7F15C8AD" w14:textId="77777777" w:rsidR="009F3870" w:rsidRPr="00883447" w:rsidRDefault="009F3870" w:rsidP="009F3870">
      <w:pPr>
        <w:spacing w:after="0"/>
        <w:rPr>
          <w:rFonts w:ascii="Times New Roman" w:hAnsi="Times New Roman" w:cs="Times New Roman"/>
          <w:sz w:val="24"/>
          <w:szCs w:val="24"/>
        </w:rPr>
      </w:pPr>
    </w:p>
    <w:p w14:paraId="01C087B8"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The primary source of data for the study was the EPA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Chemicals Dashboard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{"citationID":"My5MQZ64","properties":{"formattedCitation":"(\\uc0\\u8220{}CompTox Chemicals Dashboard,\\uc0\\u8221{} n.d.)","plainCitation":"(“CompTox Chemicals Dashboard,” n.d.)","noteIndex":0},"citationItems":[{"id":864,"uris":["http://zotero.org/users/local/PQz9MTWE/items/DBPIVT6Z"],"itemData":{"id":864,"type":"webpage","title":"CompTox Chemicals Dashboard","URL":"https://comptox.epa.gov/dashboard/","accessed":{"date-parts":[["2025",8,20]]}}}],"schema":"https://github.com/citation-style-language/schema/raw/master/csl-citation.json"} </w:instrText>
      </w:r>
      <w:r>
        <w:rPr>
          <w:rFonts w:ascii="Times New Roman" w:hAnsi="Times New Roman" w:cs="Times New Roman"/>
          <w:sz w:val="24"/>
          <w:szCs w:val="24"/>
        </w:rPr>
        <w:fldChar w:fldCharType="separate"/>
      </w:r>
      <w:r w:rsidRPr="0069480F">
        <w:rPr>
          <w:rFonts w:ascii="Times New Roman" w:hAnsi="Times New Roman" w:cs="Times New Roman"/>
          <w:sz w:val="24"/>
        </w:rPr>
        <w:t>(“</w:t>
      </w:r>
      <w:proofErr w:type="spellStart"/>
      <w:r w:rsidRPr="0069480F">
        <w:rPr>
          <w:rFonts w:ascii="Times New Roman" w:hAnsi="Times New Roman" w:cs="Times New Roman"/>
          <w:sz w:val="24"/>
        </w:rPr>
        <w:t>CompTox</w:t>
      </w:r>
      <w:proofErr w:type="spellEnd"/>
      <w:r w:rsidRPr="0069480F">
        <w:rPr>
          <w:rFonts w:ascii="Times New Roman" w:hAnsi="Times New Roman" w:cs="Times New Roman"/>
          <w:sz w:val="24"/>
        </w:rPr>
        <w:t xml:space="preserve"> Chemicals Dashboard,” n.d.)</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which aggregates high-throughput screening (HTS) data from the </w:t>
      </w:r>
      <w:proofErr w:type="spellStart"/>
      <w:r w:rsidRPr="00883447">
        <w:rPr>
          <w:rFonts w:ascii="Times New Roman" w:hAnsi="Times New Roman" w:cs="Times New Roman"/>
          <w:sz w:val="24"/>
          <w:szCs w:val="24"/>
        </w:rPr>
        <w:t>ToxCast</w:t>
      </w:r>
      <w:proofErr w:type="spellEnd"/>
      <w:r w:rsidRPr="00883447">
        <w:rPr>
          <w:rFonts w:ascii="Times New Roman" w:hAnsi="Times New Roman" w:cs="Times New Roman"/>
          <w:sz w:val="24"/>
          <w:szCs w:val="24"/>
        </w:rPr>
        <w:t xml:space="preserve"> and Tox21 initiatives. Specifically, the ATG_P53_CIS assay was used that identifies transcriptional activity of tumour suppressor protein p53. The protein is implicated in DNA repair, cell cycle arrest, and apoptosis and is also referred to as the "guardian of the genome"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{"citationID":"aAnjbN2t","properties":{"formattedCitation":"(Levine, 1997)","plainCitation":"(Levine, 1997)","noteIndex":0},"citationItems":[{"id":546,"uris":["http://zotero.org/users/local/PQz9MTWE/items/WVYD2EKK"],"itemData":{"id":546,"type":"article-journal","language":"en","source":"Zotero","title":"p53, the Cellular Gatekeeper Review for Growth and Division","author":[{"family":"Levine","given":"Arnold J"}],"issued":{"date-parts":[["1997"]]}}}],"schema":"https://github.com/citation-style-language/schema/raw/master/csl-citation.json"} </w:instrText>
      </w:r>
      <w:r>
        <w:rPr>
          <w:rFonts w:ascii="Times New Roman" w:hAnsi="Times New Roman" w:cs="Times New Roman"/>
          <w:sz w:val="24"/>
          <w:szCs w:val="24"/>
        </w:rPr>
        <w:fldChar w:fldCharType="separate"/>
      </w:r>
      <w:r w:rsidRPr="00953F44">
        <w:rPr>
          <w:rFonts w:ascii="Times New Roman" w:hAnsi="Times New Roman" w:cs="Times New Roman"/>
          <w:sz w:val="24"/>
        </w:rPr>
        <w:t>(Levine, 1997)</w:t>
      </w:r>
      <w:r>
        <w:rPr>
          <w:rFonts w:ascii="Times New Roman" w:hAnsi="Times New Roman" w:cs="Times New Roman"/>
          <w:sz w:val="24"/>
          <w:szCs w:val="24"/>
        </w:rPr>
        <w:fldChar w:fldCharType="end"/>
      </w:r>
      <w:r w:rsidRPr="00883447">
        <w:rPr>
          <w:rFonts w:ascii="Times New Roman" w:hAnsi="Times New Roman" w:cs="Times New Roman"/>
          <w:sz w:val="24"/>
          <w:szCs w:val="24"/>
        </w:rPr>
        <w:t>.</w:t>
      </w:r>
    </w:p>
    <w:p w14:paraId="52233C7D" w14:textId="77777777" w:rsidR="009F3870" w:rsidRPr="00883447"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Mutations or disruptions in p53 are linked to over 50% of all human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{"citationID":"JVTT1jc9","properties":{"formattedCitation":"(Vousden and Lane, 2007)","plainCitation":"(Vousden and Lane, 2007)","noteIndex":0},"citationItems":[{"id":547,"uris":["http://zotero.org/users/local/PQz9MTWE/items/ZMYY3QWF"],"itemData":{"id":547,"type":"article-journal","abstract":"p53 is an important tumour-suppressor protein that is altered in most cancers.p53 activates various responses, including cell-cycle arrest and apoptosis. Each of these appears to contribute to tumour suppression.p53 responds to both acute stress, such as genotoxic stress and the activation of oncogenes, and constitutive stress induced by factors such as hypoxia or starvation stress. Each of these can contribute to tumour development.In addition to tumour suppression, p53 can also have a role in normal development, during which loss of p53 can be detrimental.The activation of p53 can have undesirable effects that might contribute to diseases such as neurodegenerative syndromes and also to the ageing process in an organism.","container-title":"Nature Reviews Molecular Cell Biology","DOI":"10.1038/nrm2147","ISSN":"1471-0080","issue":"4","journalAbbreviation":"Nat Rev Mol Cell Biol","language":"en","license":"2007 Springer Nature Limited","note":"publisher: Nature Publishing Group","page":"275-283","source":"www.nature.com","title":"p53 in health and disease","volume":"8","author":[{"family":"Vousden","given":"Karen H."},{"family":"Lane","given":"David P."}],"issued":{"date-parts":[["2007",4]]}}}],"schema":"https://github.com/citation-style-language/schema/raw/master/csl-citation.json"}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(Vousden and Lane, 2007)</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and hence represent a significant biomarker for toxicological testing.</w:t>
      </w:r>
    </w:p>
    <w:p w14:paraId="2CD46C6B" w14:textId="77777777" w:rsidR="009F3870" w:rsidRDefault="009F3870" w:rsidP="009F3870">
      <w:pPr>
        <w:spacing w:after="0"/>
        <w:jc w:val="both"/>
        <w:rPr>
          <w:rFonts w:ascii="Times New Roman" w:hAnsi="Times New Roman" w:cs="Times New Roman"/>
          <w:sz w:val="24"/>
          <w:szCs w:val="24"/>
        </w:rPr>
      </w:pPr>
    </w:p>
    <w:p w14:paraId="6C5009A7"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From the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dataset, an initial list of 4039 compounds was drawn with active and inactive labels </w:t>
      </w:r>
      <w:r>
        <w:rPr>
          <w:rFonts w:ascii="Times New Roman" w:hAnsi="Times New Roman" w:cs="Times New Roman"/>
          <w:sz w:val="24"/>
          <w:szCs w:val="24"/>
        </w:rPr>
        <w:t>that describe</w:t>
      </w:r>
      <w:r w:rsidRPr="00883447">
        <w:rPr>
          <w:rFonts w:ascii="Times New Roman" w:hAnsi="Times New Roman" w:cs="Times New Roman"/>
          <w:sz w:val="24"/>
          <w:szCs w:val="24"/>
        </w:rPr>
        <w:t xml:space="preserve"> whether they are able to activate a signal in the ATG_P53_CIS assay. Only organic compounds wi</w:t>
      </w:r>
      <w:r>
        <w:rPr>
          <w:rFonts w:ascii="Times New Roman" w:hAnsi="Times New Roman" w:cs="Times New Roman"/>
          <w:sz w:val="24"/>
          <w:szCs w:val="24"/>
        </w:rPr>
        <w:t>th valid</w:t>
      </w:r>
      <w:r w:rsidRPr="00883447">
        <w:rPr>
          <w:rFonts w:ascii="Times New Roman" w:hAnsi="Times New Roman" w:cs="Times New Roman"/>
          <w:sz w:val="24"/>
          <w:szCs w:val="24"/>
        </w:rPr>
        <w:t xml:space="preserve"> SMILES strings, CAS numbers, and monoisotopic mass were retained. Further filtering was carried out for the elimination of duplicates, mixtures, and compounds with undefined molecular formulae. To make it relevant to atmospheric chemistry, a further filter was used to keep only those compounds with C, H, N, O, and S atoms, which are typical constituents of airborne organics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{"citationID":"ClPmoQCX","properties":{"formattedCitation":"(Shrivastava et al., 2017)","plainCitation":"(Shrivastava et al.,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(Shrivastava et al., 2017)</w:t>
      </w:r>
      <w:r>
        <w:rPr>
          <w:rFonts w:ascii="Times New Roman" w:hAnsi="Times New Roman" w:cs="Times New Roman"/>
          <w:sz w:val="24"/>
          <w:szCs w:val="24"/>
        </w:rPr>
        <w:fldChar w:fldCharType="end"/>
      </w:r>
      <w:r>
        <w:rPr>
          <w:rFonts w:ascii="Times New Roman" w:hAnsi="Times New Roman" w:cs="Times New Roman"/>
          <w:sz w:val="24"/>
          <w:szCs w:val="24"/>
        </w:rPr>
        <w:t>.</w:t>
      </w:r>
    </w:p>
    <w:p w14:paraId="558F4221" w14:textId="77777777" w:rsidR="009F3870" w:rsidRPr="00883447" w:rsidRDefault="009F3870" w:rsidP="009F3870">
      <w:pPr>
        <w:spacing w:after="0"/>
        <w:jc w:val="both"/>
        <w:rPr>
          <w:rFonts w:ascii="Times New Roman" w:hAnsi="Times New Roman" w:cs="Times New Roman"/>
          <w:sz w:val="24"/>
          <w:szCs w:val="24"/>
        </w:rPr>
      </w:pPr>
    </w:p>
    <w:p w14:paraId="73E8CC91"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After missing-data entry removal and extensive structural and assay-based filtering, the final cleaned dataset of 718 compounds</w:t>
      </w:r>
      <w:r>
        <w:rPr>
          <w:rFonts w:ascii="Times New Roman" w:hAnsi="Times New Roman" w:cs="Times New Roman"/>
          <w:sz w:val="24"/>
          <w:szCs w:val="24"/>
        </w:rPr>
        <w:t>,</w:t>
      </w:r>
      <w:r w:rsidRPr="00883447">
        <w:rPr>
          <w:rFonts w:ascii="Times New Roman" w:hAnsi="Times New Roman" w:cs="Times New Roman"/>
          <w:sz w:val="24"/>
          <w:szCs w:val="24"/>
        </w:rPr>
        <w:t xml:space="preserve"> consisting of 127 actives and 591 </w:t>
      </w:r>
      <w:proofErr w:type="spellStart"/>
      <w:r w:rsidRPr="00883447">
        <w:rPr>
          <w:rFonts w:ascii="Times New Roman" w:hAnsi="Times New Roman" w:cs="Times New Roman"/>
          <w:sz w:val="24"/>
          <w:szCs w:val="24"/>
        </w:rPr>
        <w:t>inactives</w:t>
      </w:r>
      <w:proofErr w:type="spellEnd"/>
      <w:r>
        <w:rPr>
          <w:rFonts w:ascii="Times New Roman" w:hAnsi="Times New Roman" w:cs="Times New Roman"/>
          <w:sz w:val="24"/>
          <w:szCs w:val="24"/>
        </w:rPr>
        <w:t>,</w:t>
      </w:r>
      <w:r w:rsidRPr="00883447">
        <w:rPr>
          <w:rFonts w:ascii="Times New Roman" w:hAnsi="Times New Roman" w:cs="Times New Roman"/>
          <w:sz w:val="24"/>
          <w:szCs w:val="24"/>
        </w:rPr>
        <w:t xml:space="preserve"> was obtained. They were the basis of all the subsequent cheminformatics processing and model construction.</w:t>
      </w:r>
    </w:p>
    <w:p w14:paraId="44FCDC0C" w14:textId="77777777" w:rsidR="009F3870" w:rsidRDefault="009F3870" w:rsidP="009F3870">
      <w:pPr>
        <w:spacing w:after="0"/>
        <w:rPr>
          <w:rFonts w:ascii="Times New Roman" w:hAnsi="Times New Roman" w:cs="Times New Roman"/>
          <w:sz w:val="24"/>
          <w:szCs w:val="24"/>
        </w:rPr>
      </w:pPr>
    </w:p>
    <w:p w14:paraId="33929E7D" w14:textId="77777777" w:rsidR="009F3870" w:rsidRPr="000A2015" w:rsidRDefault="009F3870" w:rsidP="009F3870">
      <w:pPr>
        <w:spacing w:after="0"/>
        <w:rPr>
          <w:rFonts w:ascii="Times New Roman" w:hAnsi="Times New Roman" w:cs="Times New Roman"/>
          <w:b/>
          <w:bCs/>
          <w:sz w:val="28"/>
          <w:szCs w:val="28"/>
        </w:rPr>
      </w:pPr>
      <w:r w:rsidRPr="000A2015">
        <w:rPr>
          <w:rFonts w:ascii="Times New Roman" w:hAnsi="Times New Roman" w:cs="Times New Roman"/>
          <w:b/>
          <w:bCs/>
          <w:sz w:val="28"/>
          <w:szCs w:val="28"/>
        </w:rPr>
        <w:t>2.2 Cheminformatics Feature Generation</w:t>
      </w:r>
    </w:p>
    <w:p w14:paraId="1AD6EAFE" w14:textId="77777777" w:rsidR="009F3870" w:rsidRDefault="009F3870" w:rsidP="009F3870">
      <w:pPr>
        <w:spacing w:after="0"/>
        <w:jc w:val="both"/>
        <w:rPr>
          <w:rFonts w:ascii="Times New Roman" w:hAnsi="Times New Roman" w:cs="Times New Roman"/>
          <w:b/>
          <w:bCs/>
          <w:sz w:val="28"/>
          <w:szCs w:val="28"/>
        </w:rPr>
      </w:pPr>
    </w:p>
    <w:p w14:paraId="4201D3FC"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In order to convert chemical structures to computational inputs, a wide range of molecular fingerprints were computed from the </w:t>
      </w:r>
      <w:proofErr w:type="spellStart"/>
      <w:r w:rsidRPr="000A2015">
        <w:rPr>
          <w:rFonts w:ascii="Times New Roman" w:hAnsi="Times New Roman" w:cs="Times New Roman"/>
          <w:sz w:val="24"/>
          <w:szCs w:val="24"/>
        </w:rPr>
        <w:t>rcdk</w:t>
      </w:r>
      <w:proofErr w:type="spellEnd"/>
      <w:r w:rsidRPr="000A2015">
        <w:rPr>
          <w:rFonts w:ascii="Times New Roman" w:hAnsi="Times New Roman" w:cs="Times New Roman"/>
          <w:sz w:val="24"/>
          <w:szCs w:val="24"/>
        </w:rPr>
        <w:t xml:space="preserve"> package in R that encapsulates the Chemistry Development Kit (CDK)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{"citationID":"K4QWIV19","properties":{"formattedCitation":"(Guha, 2007; Steinbeck et al., 2003)","plainCitation":"(Guha, 2007; Steinbeck et al., 2003)","noteIndex":0},"citationItems":[{"id":670,"uris":["http://zotero.org/users/local/PQz9MTWE/items/7IQYDLZU"],"itemData":{"id":670,"type":"document","title":"Chemical Informatics Functionality in R","URL":"https://www.jstatsoft.org/article/view/v018i05","author":[{"family":"Guha","given":"Rajarshi"}],"issued":{"date-parts":[["2007"]]}}},{"id":868,"uris":["http://zotero.org/users/local/PQz9MTWE/items/INEHYFJU"],"itemData":{"id":868,"type":"article-journal","abstract":"The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577989">
        <w:rPr>
          <w:rFonts w:ascii="Times New Roman" w:hAnsi="Times New Roman" w:cs="Times New Roman"/>
          <w:sz w:val="24"/>
        </w:rPr>
        <w:t>(Guha, 2007; 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Fingerprints are numerical or binary descriptors that characterize substructural motifs, topology, and physicochemical features of molecules.</w:t>
      </w:r>
    </w:p>
    <w:p w14:paraId="5B2E4FD9" w14:textId="77777777" w:rsidR="009F3870" w:rsidRPr="000A2015" w:rsidRDefault="009F3870" w:rsidP="009F3870">
      <w:pPr>
        <w:spacing w:after="0"/>
        <w:jc w:val="both"/>
        <w:rPr>
          <w:rFonts w:ascii="Times New Roman" w:hAnsi="Times New Roman" w:cs="Times New Roman"/>
          <w:sz w:val="24"/>
          <w:szCs w:val="24"/>
        </w:rPr>
      </w:pPr>
    </w:p>
    <w:p w14:paraId="1ABA27DA"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A range of fingerprints was employed for providing high-density structural data. They included MACCS keys (166-bit substructure motifs)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{"citationID":"FCnQ44w8","properties":{"formattedCitation":"(Durant et al., 2002)","plainCitation":"(Durant et al., 2002)","noteIndex":0},"citationItems":[{"id":616,"uris":["http://zotero.org/users/local/PQz9MTWE/items/ENDJX5NV"],"itemData":{"id":616,"type":"article-journal","abstract":"For a number of years MDL products have exposed both 166 bit and 960 bit keysets based on 2D descriptors. These keysets were originally constructed and optimized for substructure searching. We report on improvements in the performance of MDL keysets which are reoptimized for use in molecular similarity. Classification performance for a test data set of 957 compounds was increased from 0.65 for the 166 bit keyset and 0.67 for the 960 bit keyset to 0.71 for a surprisal S/N pruned keyset containing 208 bits and 0.71 for a genetic algorithm optimized keyset containing 548 bits. We present an overview of the underlying technology supporting the definition of descriptors and the encoding of these descriptors into keysets. This technology allows definition of descriptors as combinations of atom properties, bond properties, and atomic neighborhoods at various topological separations as well as supporting a number of custom descriptors. These descriptors can then be used to set one or more bits in a keyset. We constructed various keysets and optimized their performance in clustering bioactive substances. Performance was measured using methodology developed by Briem and Lessel. “Directed pruning” was carried out by eliminating bits from the keysets on the basis of random selection, values of the surprisal of the bit, or values of the surprisal S/N ratio of the bit. The random pruning experiment highlighted the insensitivity of keyset performance for keyset lengths of more than 1000 bits. Contrary to initial expectations, pruning on the basis of the surprisal values of the various bits resulted in keysets which underperformed those resulting from random pruning. In contrast, pruning on the basis of the surprisal S/N ratio was found to yield keysets which performed better than those resulting from random pruning. We also explored the use of genetic algorithms in the selection of optimal keysets. Once more the performance was only a weak function of keyset size, and the optimizations failed to identify a single globally optimal keyset. Instead multiple, equally optimal keysets could be produced which had relatively low overlap of the descriptors they encoded.","container-title":"Journal of Chemical Information and Computer Sciences","DOI":"10.1021/ci010132r","ISSN":"0095-2338","issue":"6","journalAbbreviation":"J. Chem. Inf. Comput. Sci.","note":"publisher: American Chemical Society","page":"1273-1280","source":"ACS Publications","title":"Reoptimization of MDL Keys for Use in Drug Discovery","volume":"42","author":[{"family":"Durant","given":"Joseph L."},{"family":"Leland","given":"Burton A."},{"family":"Henry","given":"Douglas R."},{"family":"Nourse","given":"James G."}],"issued":{"date-parts":[["2002",11,1]]}}}],"schema":"https://github.com/citation-style-language/schema/raw/master/csl-citation.json"} </w:instrText>
      </w:r>
      <w:r>
        <w:rPr>
          <w:rFonts w:ascii="Times New Roman" w:hAnsi="Times New Roman" w:cs="Times New Roman"/>
          <w:sz w:val="24"/>
          <w:szCs w:val="24"/>
        </w:rPr>
        <w:fldChar w:fldCharType="separate"/>
      </w:r>
      <w:r w:rsidRPr="00C632CC">
        <w:rPr>
          <w:rFonts w:ascii="Times New Roman" w:hAnsi="Times New Roman" w:cs="Times New Roman"/>
          <w:sz w:val="24"/>
        </w:rPr>
        <w:t>(Durant et al., 2002)</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PubChem fingerprints (881-bit descriptors used in PubChem database)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{"citationID":"IbALhRuH","properties":{"formattedCitation":"(Wang et al., 2009)","plainCitation":"(Wang et al., 2009)","noteIndex":0},"citationItems":[{"id":867,"uris":["http://zotero.org/users/local/PQz9MTWE/items/BK24V6RT"],"itemData":{"id":867,"type":"article-journal","abstract":"PubChem (http://pubchem.ncbi.nlm.nih.gov) is a public repository for biological properties of small molecules hosted by the US National Institutes of Health (NIH). PubChem BioAssay database currently contains biological test results for more than 700 000 compounds. The goal of PubChem is to make this information easily accessible to biomedical researchers. In this work, we present a set of web servers to facilitate and optimize the utility of biological activity information within PubChem. These web-based services provide tools for rapid data retrieval, integration and comparison of biological screening results, exploratory structure–activity analysis, and target selectivity examination. This article reviews these bioactivity analysis tools and discusses their uses. Most of the tools described in this work can be directly accessed at http:// pubchem.ncbi.nlm.nih.gov/assay/. URLs for accessing other tools described in this work are specified individually.","container-title":"Nucleic Acids Research","DOI":"10.1093/nar/gkp456","ISSN":"0305-1048, 1362-4962","issue":"Web Server","journalAbbreviation":"Nucleic Acids Research","language":"en","license":"http://creativecommons.org/licenses/by-nc/2.0/uk/","page":"W623-W633","source":"DOI.org (Crossref)","title":"PubChem: a public information system for analyzing bioactivities of small molecules","title-short":"PubChem","volume":"37","author":[{"family":"Wang","given":"Y."},{"family":"Xiao","given":"J."},{"family":"Suzek","given":"T. O."},{"family":"Zhang","given":"J."},{"family":"Wang","given":"J."},{"family":"Bryant","given":"S. H."}],"issued":{"date-parts":[["2009",7,1]]}}}],"schema":"https://github.com/citation-style-language/schema/raw/master/csl-citation.json"}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(Wang et al., 2009)</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Klekota</w:t>
      </w:r>
      <w:proofErr w:type="spellEnd"/>
      <w:r w:rsidRPr="000A2015">
        <w:rPr>
          <w:rFonts w:ascii="Times New Roman" w:hAnsi="Times New Roman" w:cs="Times New Roman"/>
          <w:sz w:val="24"/>
          <w:szCs w:val="24"/>
        </w:rPr>
        <w:t>–Roth fingerprints (4860-bit motifs tuned for bioactivity prediction)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{"citationID":"rkIGWgnz","properties":{"formattedCitation":"(Klekota and Roth, 2008)","plainCitation":"(Klekota and Roth, 2008)","noteIndex":0},"citationItems":[{"id":602,"uris":["http://zotero.org/users/local/PQz9MTWE/items/NIEWSQ9J"],"itemData":{"id":602,"type":"article-journal","abstract":"Motivation: Certain chemical substructures are present in many drugs. This has led to the claim of ‘privileged’ substructures which are predisposed to bioactivity. Because bias in screening library construction could explain this phenomenon, the existence of privilege has been controversial.Results: Using diverse phenotypic assays, we defined bioactivity for multiple compound libraries. Many substructures were associated with bioactivity even after accounting for substructure prevalence in the library, thus validating the privileged substructure concept. Determinations of privilege were confirmed in independent assays and libraries. Our analysis also revealed ‘underprivileged’ substructures and ‘conditional privilege’—rules relating combinations of substructure to bioactivity. Most previously reported substructures have been flat aromatic ring systems. Although we validated such substructures, we also identified three-dimensional privileged substructures. Most privileged substructures display a wide variety of substituents suggesting an entropic mechanism of privilege. Compounds containing privileged substructures had a doubled rate of bioactivity, suggesting practical consequences for pharmaceutical discovery.Contact:  fritz_roth@hms.harvard.eduSupplementary information:  Supplementary data are available at Bioinformatics online.","container-title":"Bioinformatics","DOI":"10.1093/bioinformatics/btn479","ISSN":"1367-4803","issue":"21","journalAbbreviation":"Bioinformatics","page":"2518-2525","source":"Silverchair","title":"Chemical substructures that enrich for biological activity","volume":"24","author":[{"family":"Klekota","given":"Justin"},{"family":"Roth","given":"Frederick P."}],"issued":{"date-parts":[["2008",11,1]]}}}],"schema":"https://github.com/citation-style-language/schema/raw/master/csl-citation.json"}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(Klekota and Roth, 2008)</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Other descriptors reflecting electronic and topological properties, such as CDK standard fingerprints (1024-bit)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{"citationID":"ve7wP1iw","properties":{"formattedCitation":"(Steinbeck et al., 2003)","plainCitation":"(Steinbeck et al., 2003)","noteIndex":0},"citationItems":[{"id":868,"uris":["http://zotero.org/users/local/PQz9MTWE/items/INEHYFJU"],"itemData":{"id":868,"type":"article-journal","abstract":"The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EState</w:t>
      </w:r>
      <w:proofErr w:type="spellEnd"/>
      <w:r w:rsidRPr="000A2015">
        <w:rPr>
          <w:rFonts w:ascii="Times New Roman" w:hAnsi="Times New Roman" w:cs="Times New Roman"/>
          <w:sz w:val="24"/>
          <w:szCs w:val="24"/>
        </w:rPr>
        <w:t xml:space="preserve"> fingerprints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{"citationID":"7w05CPwU","properties":{"formattedCitation":"(Hall and Kier, 1995)","plainCitation":"(Hall and Kier, 1995)","noteIndex":0},"citationItems":[{"id":872,"uris":["http://zotero.org/users/local/PQz9MTWE/items/8TUJ3NDW"],"itemData":{"id":872,"type":"article-journal","container-title":"Journal of Chemical Information and Computer Sciences","DOI":"10.1021/ci00028a014","ISSN":"0095-2338, 1520-5142","issue":"6","journalAbbreviation":"J. Chem. Inf. Comput. Sci.","language":"en","page":"1039-1045","source":"DOI.org (Crossref)","title":"Electrotopological State Indices for Atom Types: A Novel Combination of Electronic, Topological, and Valence State Information","title-short":"Electrotopological State Indices for Atom Types","volume":"35","author":[{"family":"Hall","given":"Lowell H."},{"family":"Kier","given":"Lemont B."}],"issued":{"date-parts":[["1995",11,1]]}}}],"schema":"https://github.com/citation-style-language/schema/raw/master/csl-citation.json"}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(Hall and Kier, 1995)</w:t>
      </w:r>
      <w:r>
        <w:rPr>
          <w:rFonts w:ascii="Times New Roman" w:hAnsi="Times New Roman" w:cs="Times New Roman"/>
          <w:sz w:val="24"/>
          <w:szCs w:val="24"/>
        </w:rPr>
        <w:fldChar w:fldCharType="end"/>
      </w:r>
      <w:r w:rsidRPr="000A2015">
        <w:rPr>
          <w:rFonts w:ascii="Times New Roman" w:hAnsi="Times New Roman" w:cs="Times New Roman"/>
          <w:sz w:val="24"/>
          <w:szCs w:val="24"/>
        </w:rPr>
        <w:t>, were also generated.</w:t>
      </w:r>
    </w:p>
    <w:p w14:paraId="72979EDF" w14:textId="77777777" w:rsidR="009F3870" w:rsidRPr="000A2015" w:rsidRDefault="009F3870" w:rsidP="009F3870">
      <w:pPr>
        <w:spacing w:after="0"/>
        <w:jc w:val="both"/>
        <w:rPr>
          <w:rFonts w:ascii="Times New Roman" w:hAnsi="Times New Roman" w:cs="Times New Roman"/>
          <w:sz w:val="24"/>
          <w:szCs w:val="24"/>
        </w:rPr>
      </w:pPr>
    </w:p>
    <w:p w14:paraId="3DB6D88F" w14:textId="77777777" w:rsidR="009F3870"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lastRenderedPageBreak/>
        <w:t>All fingerprint vectors were normalized, near-zero variance features removed, and descriptors with high correlation (&gt; 0.9) removed. All this preprocessing is crucial to stability and generalizability in cheminformatics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{"citationID":"6KWhRMx0","properties":{"formattedCitation":"(Svetnik et al., 2003)","plainCitation":"(Svetnik et al., 2003)","noteIndex":0},"citationItems":[{"id":688,"uris":["http://zotero.org/users/local/PQz9MTWE/items/2IE67NZL"],"itemData":{"id":688,"type":"article-journal","container-title":"Journal of Chemical Information and Computer Sciences","DOI":"10.1021/ci034160g","ISSN":"0095-2338","issue":"6","journalAbbreviation":"J. Chem. Inf. Comput. Sci.","language":"en","page":"1947-1958","source":"DOI.org (Crossref)","title":"Random Forest: A Classification and Regression Tool for Compound Classification and QSAR Modeling","title-short":"Random Forest","volume":"43","author":[{"family":"Svetnik","given":"Vladimir"},{"family":"Liaw","given":"Andy"},{"family":"Tong","given":"Christopher"},{"family":"Culberson","given":"J. Christopher"},{"family":"Sheridan","given":"Robert P."},{"family":"Feuston","given":"Bradley P."}],"issued":{"date-parts":[["2003",11,1]]}}}],"schema":"https://github.com/citation-style-language/schema/raw/master/csl-citation.json"}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(Svetnik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w:t>
      </w:r>
    </w:p>
    <w:p w14:paraId="2A9EB00E" w14:textId="77777777" w:rsidR="009F3870" w:rsidRPr="000A2015" w:rsidRDefault="009F3870" w:rsidP="009F3870">
      <w:pPr>
        <w:spacing w:after="0"/>
        <w:jc w:val="both"/>
        <w:rPr>
          <w:rFonts w:ascii="Times New Roman" w:hAnsi="Times New Roman" w:cs="Times New Roman"/>
        </w:rPr>
      </w:pPr>
    </w:p>
    <w:p w14:paraId="24D4D537" w14:textId="77777777" w:rsidR="009F3870" w:rsidRPr="000C748B" w:rsidRDefault="009F3870" w:rsidP="009F3870">
      <w:pPr>
        <w:spacing w:after="0"/>
        <w:rPr>
          <w:rFonts w:ascii="Times New Roman" w:hAnsi="Times New Roman" w:cs="Times New Roman"/>
          <w:b/>
          <w:bCs/>
          <w:sz w:val="28"/>
          <w:szCs w:val="28"/>
        </w:rPr>
      </w:pPr>
      <w:r w:rsidRPr="000C748B">
        <w:rPr>
          <w:rFonts w:ascii="Times New Roman" w:hAnsi="Times New Roman" w:cs="Times New Roman"/>
          <w:b/>
          <w:bCs/>
          <w:sz w:val="28"/>
          <w:szCs w:val="28"/>
        </w:rPr>
        <w:t>2.3 Data Preprocessing and Feature Selection</w:t>
      </w:r>
    </w:p>
    <w:p w14:paraId="14046770" w14:textId="77777777" w:rsidR="009F3870" w:rsidRPr="000C748B" w:rsidRDefault="009F3870" w:rsidP="009F3870">
      <w:pPr>
        <w:spacing w:after="0"/>
        <w:rPr>
          <w:rFonts w:ascii="Times New Roman" w:hAnsi="Times New Roman" w:cs="Times New Roman"/>
          <w:b/>
          <w:bCs/>
          <w:sz w:val="28"/>
          <w:szCs w:val="28"/>
        </w:rPr>
      </w:pPr>
    </w:p>
    <w:p w14:paraId="0800FFF8" w14:textId="77777777" w:rsidR="009F3870" w:rsidRPr="000C748B"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Preprocessing was conducted in R with the caret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{"citationID":"dumcQC0D","properties":{"formattedCitation":"(Kuhn, 2008)","plainCitation":"(Kuhn, 2008)","noteIndex":0},"citationItems":[{"id":876,"uris":["http://zotero.org/users/local/PQz9MTWE/items/QW9VSUBP"],"itemData":{"id":876,"type":"article-journal","abstract":"The caret package, short for classification and regression training, contains numerous tools for developing predictive models using the rich set of models available in R. The package focuses on simplifying model training and tuning across a wide variety of modeling techniques. It also includes methods for pre-processing training data, calculating variable importance, and model visualizations. An example from computational chemistry is used to illustrate the functionality on a real data set and to benchmark the benefits of parallel processing with several types of models.","container-title":"Journal of Statistical Software","DOI":"10.18637/jss.v028.i05","ISSN":"1548-7660","language":"en","license":"Copyright (c) 2008 Max Kuhn","page":"1-26","source":"www.jstatsoft.org","title":"Building Predictive Models in R Using the caret Package","volume":"28","author":[{"family":"Kuhn","given":"Max"}],"issued":{"date-parts":[["2008",11,10]]}}}],"schema":"https://github.com/citation-style-language/schema/raw/master/csl-citation.json"}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(Kuhn, 2008)</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and </w:t>
      </w:r>
      <w:proofErr w:type="spellStart"/>
      <w:r w:rsidRPr="000C748B">
        <w:rPr>
          <w:rFonts w:ascii="Times New Roman" w:hAnsi="Times New Roman" w:cs="Times New Roman"/>
          <w:sz w:val="24"/>
          <w:szCs w:val="24"/>
        </w:rPr>
        <w:t>dplyr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{"citationID":"Z8JKGjUv","properties":{"formattedCitation":"(Wickham, n.d.)","plainCitation":"(Wickham, n.d.)","noteIndex":0},"citationItems":[{"id":888,"uris":["http://zotero.org/users/local/PQz9MTWE/items/CYNTUSBH"],"itemData":{"id":888,"type":"article-journal","language":"en","source":"Zotero","title":"A personal history of the tidyverse","author":[{"family":"Wickham","given":"Hadley"}]}}],"schema":"https://github.com/citation-style-language/schema/raw/master/csl-citation.json"}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(Wickham, n.d.)</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packages that have peer-reviewed data cleaning, manipulation, and model preparation structures. Missing values were removed from observations so that complete cases could be used. Continuous descriptors such as monoisotopic mass were z-score normalized so that all features are on the same scale and so as not to enable large-valued variables to dominate model learning.</w:t>
      </w:r>
    </w:p>
    <w:p w14:paraId="29687D20" w14:textId="77777777" w:rsidR="009F3870" w:rsidRPr="000C748B" w:rsidRDefault="009F3870" w:rsidP="009F3870">
      <w:pPr>
        <w:spacing w:after="0"/>
        <w:jc w:val="both"/>
        <w:rPr>
          <w:rFonts w:ascii="Times New Roman" w:hAnsi="Times New Roman" w:cs="Times New Roman"/>
          <w:sz w:val="24"/>
          <w:szCs w:val="24"/>
        </w:rPr>
      </w:pPr>
    </w:p>
    <w:p w14:paraId="2894F8A9" w14:textId="77777777" w:rsidR="009F3870"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 xml:space="preserve">To enhance model stability, predictors of near-zero variance were removed by the use of caret's </w:t>
      </w:r>
      <w:proofErr w:type="spellStart"/>
      <w:r w:rsidRPr="000C748B">
        <w:rPr>
          <w:rFonts w:ascii="Times New Roman" w:hAnsi="Times New Roman" w:cs="Times New Roman"/>
          <w:sz w:val="24"/>
          <w:szCs w:val="24"/>
        </w:rPr>
        <w:t>nearZeroVar</w:t>
      </w:r>
      <w:proofErr w:type="spellEnd"/>
      <w:r w:rsidRPr="000C748B">
        <w:rPr>
          <w:rFonts w:ascii="Times New Roman" w:hAnsi="Times New Roman" w:cs="Times New Roman"/>
          <w:sz w:val="24"/>
          <w:szCs w:val="24"/>
        </w:rPr>
        <w:t xml:space="preserve"> function because such predictors contribute almost nothing to classification. Furthermore, high pair-wise correlated features (Pearson's |r| &gt; 0.9) were also removed to reduce redundancy and fight collinearity-cause instability. While such operations discard some of the predictive data, they improve interpretability and yield a more stable subset of single predictors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{"citationID":"zk21v7Cf","properties":{"formattedCitation":"(Guyon and Elisseeff, n.d.; Yvan, 2007)","plainCitation":"(Guyon and Elisseeff, n.d.; Yvan, 2007)","noteIndex":0},"citationItems":[{"id":881,"uris":["http://zotero.org/users/local/PQz9MTWE/items/LG29KXTP"],"itemData":{"id":881,"type":"article-journal","abstract":"Variable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deﬁnition of the objective function, feature construction, feature ranking, multivariate feature selection, efﬁcient search methods, and feature validity assessment methods.","language":"en","source":"Zotero","title":"An Introduction to Variable and Feature Selection","author":[{"family":"Guyon","given":"Isabelle"},{"family":"Elisseeff","given":"Andre"}]}},{"id":882,"uris":["http://zotero.org/users/local/PQz9MTWE/items/QIE2KPUX"],"itemData":{"id":882,"type":"article-journal","abstract":"PDF | Feature selection techniques have become an apparent need in many bioinformatics applications. In addition to the large pool of techniques that... | Find, read and cite all the research you need on ResearchGate","container-title":"ResearchGate","DOI":"10.1093/bioinformatics/btm344","language":"en","source":"www.researchgate.net","title":"(PDF) A review of feature selection techniques in bioinformatics","URL":"https://www.researchgate.net/publication/6119033_A_review_of_feature_selection_techniques_in_bioinformatics","author":[{"family":"Yvan","given":"Saeys"}],"accessed":{"date-parts":[["2025",8,21]]},"issued":{"date-parts":[["2007",8,24]]}}}],"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(Guyon and Elisseeff, n.d.; Yvan, 2007)</w:t>
      </w:r>
      <w:r>
        <w:rPr>
          <w:rFonts w:ascii="Times New Roman" w:hAnsi="Times New Roman" w:cs="Times New Roman"/>
          <w:sz w:val="24"/>
          <w:szCs w:val="24"/>
        </w:rPr>
        <w:fldChar w:fldCharType="end"/>
      </w:r>
      <w:r w:rsidRPr="000C748B">
        <w:rPr>
          <w:rFonts w:ascii="Times New Roman" w:hAnsi="Times New Roman" w:cs="Times New Roman"/>
          <w:sz w:val="24"/>
          <w:szCs w:val="24"/>
        </w:rPr>
        <w:t>. The benefits of this filtering are evident from the correlation heatmap of the top 20 features (Fig. 2.3.1), where numbers of highly correlated variables were reduced to a minimum so that independent descriptors could make more balanced contributions.</w:t>
      </w:r>
    </w:p>
    <w:p w14:paraId="76144288" w14:textId="77777777" w:rsidR="009F3870" w:rsidRDefault="009F3870" w:rsidP="009F3870">
      <w:pPr>
        <w:spacing w:after="0"/>
        <w:jc w:val="both"/>
        <w:rPr>
          <w:rFonts w:ascii="Times New Roman" w:hAnsi="Times New Roman" w:cs="Times New Roman"/>
          <w:sz w:val="24"/>
          <w:szCs w:val="24"/>
        </w:rPr>
      </w:pPr>
    </w:p>
    <w:p w14:paraId="02496521" w14:textId="77777777" w:rsidR="009F3870" w:rsidRDefault="009F3870" w:rsidP="009F3870">
      <w:pPr>
        <w:spacing w:after="0"/>
        <w:jc w:val="both"/>
        <w:rPr>
          <w:rFonts w:ascii="Times New Roman" w:hAnsi="Times New Roman" w:cs="Times New Roman"/>
          <w:sz w:val="24"/>
          <w:szCs w:val="24"/>
        </w:rPr>
      </w:pPr>
      <w:r w:rsidRPr="00453C6E">
        <w:rPr>
          <w:rFonts w:ascii="Times New Roman" w:hAnsi="Times New Roman" w:cs="Times New Roman"/>
          <w:noProof/>
          <w:sz w:val="24"/>
          <w:szCs w:val="24"/>
        </w:rPr>
        <w:lastRenderedPageBreak/>
        <w:drawing>
          <wp:inline distT="0" distB="0" distL="0" distR="0" wp14:anchorId="4B83CD9B" wp14:editId="1A739A1D">
            <wp:extent cx="5731510" cy="4871085"/>
            <wp:effectExtent l="0" t="0" r="2540" b="5715"/>
            <wp:docPr id="484508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871085"/>
                    </a:xfrm>
                    <a:prstGeom prst="rect">
                      <a:avLst/>
                    </a:prstGeom>
                    <a:noFill/>
                    <a:ln>
                      <a:noFill/>
                    </a:ln>
                  </pic:spPr>
                </pic:pic>
              </a:graphicData>
            </a:graphic>
          </wp:inline>
        </w:drawing>
      </w:r>
    </w:p>
    <w:p w14:paraId="54B95111" w14:textId="77777777" w:rsidR="009F3870" w:rsidRPr="000C748B" w:rsidRDefault="009F3870" w:rsidP="009F3870">
      <w:pPr>
        <w:spacing w:after="0"/>
        <w:jc w:val="center"/>
        <w:rPr>
          <w:rFonts w:ascii="Times New Roman" w:hAnsi="Times New Roman" w:cs="Times New Roman"/>
        </w:rPr>
      </w:pPr>
      <w:r w:rsidRPr="00E1061E">
        <w:rPr>
          <w:rFonts w:ascii="Times New Roman" w:hAnsi="Times New Roman" w:cs="Times New Roman"/>
          <w:b/>
          <w:bCs/>
        </w:rPr>
        <w:t>Figure 2.3.1.</w:t>
      </w:r>
      <w:r w:rsidRPr="00E1061E">
        <w:rPr>
          <w:rFonts w:ascii="Times New Roman" w:hAnsi="Times New Roman" w:cs="Times New Roman"/>
        </w:rPr>
        <w:t xml:space="preserve"> Correlation heatmap of the top-20 most important features, showing Pearson correlations computed on the test set. Red cells indicate positive correlation, blue cells negative correlation, with values shown inside the grid.</w:t>
      </w:r>
    </w:p>
    <w:p w14:paraId="6467EE37" w14:textId="77777777" w:rsidR="009F3870" w:rsidRPr="000C748B" w:rsidRDefault="009F3870" w:rsidP="009F3870">
      <w:pPr>
        <w:spacing w:after="0"/>
        <w:jc w:val="both"/>
        <w:rPr>
          <w:rFonts w:ascii="Times New Roman" w:hAnsi="Times New Roman" w:cs="Times New Roman"/>
          <w:sz w:val="24"/>
          <w:szCs w:val="24"/>
        </w:rPr>
      </w:pPr>
    </w:p>
    <w:p w14:paraId="022A9A30" w14:textId="77777777" w:rsidR="009F3870" w:rsidRPr="000C748B" w:rsidRDefault="009F3870" w:rsidP="009F3870">
      <w:pPr>
        <w:spacing w:after="0"/>
        <w:jc w:val="both"/>
        <w:rPr>
          <w:rFonts w:ascii="Times New Roman" w:hAnsi="Times New Roman" w:cs="Times New Roman"/>
          <w:sz w:val="24"/>
          <w:szCs w:val="24"/>
        </w:rPr>
      </w:pPr>
      <w:r w:rsidRPr="0073351C">
        <w:rPr>
          <w:rFonts w:ascii="Times New Roman" w:hAnsi="Times New Roman" w:cs="Times New Roman"/>
          <w:sz w:val="24"/>
          <w:szCs w:val="24"/>
        </w:rPr>
        <w:t xml:space="preserve">The binary outcome variable HIT.CALL was also numerically coded (active = 1, inactive = 0). Class imbalance was managed by applying stratified train/test split (80:20 split) and </w:t>
      </w:r>
      <w:proofErr w:type="spellStart"/>
      <w:r w:rsidRPr="0073351C">
        <w:rPr>
          <w:rFonts w:ascii="Times New Roman" w:hAnsi="Times New Roman" w:cs="Times New Roman"/>
          <w:sz w:val="24"/>
          <w:szCs w:val="24"/>
        </w:rPr>
        <w:t>XGBoost</w:t>
      </w:r>
      <w:proofErr w:type="spellEnd"/>
      <w:r w:rsidRPr="0073351C">
        <w:rPr>
          <w:rFonts w:ascii="Times New Roman" w:hAnsi="Times New Roman" w:cs="Times New Roman"/>
          <w:sz w:val="24"/>
          <w:szCs w:val="24"/>
        </w:rPr>
        <w:t xml:space="preserve"> scaling of the </w:t>
      </w:r>
      <w:proofErr w:type="spellStart"/>
      <w:r w:rsidRPr="0073351C">
        <w:rPr>
          <w:rFonts w:ascii="Times New Roman" w:hAnsi="Times New Roman" w:cs="Times New Roman"/>
          <w:sz w:val="24"/>
          <w:szCs w:val="24"/>
        </w:rPr>
        <w:t>scale_pos_weight</w:t>
      </w:r>
      <w:proofErr w:type="spellEnd"/>
      <w:r w:rsidRPr="0073351C">
        <w:rPr>
          <w:rFonts w:ascii="Times New Roman" w:hAnsi="Times New Roman" w:cs="Times New Roman"/>
          <w:sz w:val="24"/>
          <w:szCs w:val="24"/>
        </w:rPr>
        <w:t xml:space="preserve"> parameter, which reformulated the loss function as a function of class distribution. Surprisingly, weighting filled in for but did not replace stratification for proportional representation of minority actives.</w:t>
      </w:r>
      <w:r w:rsidRPr="000C748B">
        <w:rPr>
          <w:rFonts w:ascii="Times New Roman" w:hAnsi="Times New Roman" w:cs="Times New Roman"/>
          <w:sz w:val="24"/>
          <w:szCs w:val="24"/>
        </w:rPr>
        <w:t xml:space="preserve"> Finally, the pre-processed data was stored in the </w:t>
      </w:r>
      <w:proofErr w:type="spellStart"/>
      <w:proofErr w:type="gramStart"/>
      <w:r w:rsidRPr="000C748B">
        <w:rPr>
          <w:rFonts w:ascii="Times New Roman" w:hAnsi="Times New Roman" w:cs="Times New Roman"/>
          <w:sz w:val="24"/>
          <w:szCs w:val="24"/>
        </w:rPr>
        <w:t>xgb.DMatrix</w:t>
      </w:r>
      <w:proofErr w:type="spellEnd"/>
      <w:proofErr w:type="gramEnd"/>
      <w:r w:rsidRPr="000C748B">
        <w:rPr>
          <w:rFonts w:ascii="Times New Roman" w:hAnsi="Times New Roman" w:cs="Times New Roman"/>
          <w:sz w:val="24"/>
          <w:szCs w:val="24"/>
        </w:rPr>
        <w:t xml:space="preserve"> sparse matrix data format to ensure maximum memory usage and computational efficiency during training large models.</w:t>
      </w:r>
    </w:p>
    <w:p w14:paraId="3769CD9F" w14:textId="77777777" w:rsidR="009F3870" w:rsidRDefault="009F3870" w:rsidP="009F3870">
      <w:pPr>
        <w:spacing w:after="0"/>
        <w:rPr>
          <w:rFonts w:ascii="Times New Roman" w:hAnsi="Times New Roman" w:cs="Times New Roman"/>
          <w:sz w:val="24"/>
          <w:szCs w:val="24"/>
        </w:rPr>
      </w:pPr>
    </w:p>
    <w:p w14:paraId="710230B7" w14:textId="77777777" w:rsidR="009F3870" w:rsidRDefault="009F3870" w:rsidP="009F3870">
      <w:pPr>
        <w:spacing w:after="0"/>
        <w:jc w:val="both"/>
        <w:rPr>
          <w:rFonts w:ascii="Times New Roman" w:hAnsi="Times New Roman" w:cs="Times New Roman"/>
          <w:b/>
          <w:bCs/>
          <w:sz w:val="28"/>
          <w:szCs w:val="28"/>
        </w:rPr>
      </w:pPr>
      <w:r w:rsidRPr="00221124">
        <w:rPr>
          <w:rFonts w:ascii="Times New Roman" w:hAnsi="Times New Roman" w:cs="Times New Roman"/>
          <w:b/>
          <w:bCs/>
          <w:sz w:val="28"/>
          <w:szCs w:val="28"/>
        </w:rPr>
        <w:t xml:space="preserve">2.4 </w:t>
      </w:r>
      <w:proofErr w:type="spellStart"/>
      <w:r w:rsidRPr="00221124">
        <w:rPr>
          <w:rFonts w:ascii="Times New Roman" w:hAnsi="Times New Roman" w:cs="Times New Roman"/>
          <w:b/>
          <w:bCs/>
          <w:sz w:val="28"/>
          <w:szCs w:val="28"/>
        </w:rPr>
        <w:t>XGBoost</w:t>
      </w:r>
      <w:proofErr w:type="spellEnd"/>
      <w:r w:rsidRPr="00221124">
        <w:rPr>
          <w:rFonts w:ascii="Times New Roman" w:hAnsi="Times New Roman" w:cs="Times New Roman"/>
          <w:b/>
          <w:bCs/>
          <w:sz w:val="28"/>
          <w:szCs w:val="28"/>
        </w:rPr>
        <w:t xml:space="preserve"> Machine Learning Model Development</w:t>
      </w:r>
    </w:p>
    <w:p w14:paraId="7C13D928" w14:textId="77777777" w:rsidR="009F3870" w:rsidRPr="00C8744E" w:rsidRDefault="009F3870" w:rsidP="009F3870">
      <w:pPr>
        <w:spacing w:after="0"/>
        <w:jc w:val="both"/>
        <w:rPr>
          <w:rFonts w:ascii="Times New Roman" w:hAnsi="Times New Roman" w:cs="Times New Roman"/>
          <w:b/>
          <w:bCs/>
          <w:sz w:val="28"/>
          <w:szCs w:val="28"/>
        </w:rPr>
      </w:pPr>
    </w:p>
    <w:p w14:paraId="207EDD5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For predicting carcinogenic activity based on structural fingerprints, the present study employed the Extreme Gradient Boosting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algorithm, a decision-tree-based ensemble model popular for its high reliability and efficiency in high-dimensional space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{"citationID":"niRhBsix","properties":{"formattedCitation":"(Chen and Guestrin, 2016)","plainCitation":"(Chen and Guestrin, 2016)","noteIndex":0},"citationItems":[{"id":395,"uris":["http://zotero.org/users/local/PQz9MTWE/items/SBZI28U3"],"itemData":{"id":395,"type":"paper-conference","container-title":"Proceedings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schema":"https://github.com/citation-style-language/schema/raw/master/csl-citation.json"} </w:instrText>
      </w:r>
      <w:r>
        <w:rPr>
          <w:rFonts w:ascii="Times New Roman" w:hAnsi="Times New Roman" w:cs="Times New Roman"/>
          <w:sz w:val="24"/>
          <w:szCs w:val="24"/>
        </w:rPr>
        <w:fldChar w:fldCharType="separate"/>
      </w:r>
      <w:r w:rsidRPr="00EA0233">
        <w:rPr>
          <w:rFonts w:ascii="Times New Roman" w:hAnsi="Times New Roman" w:cs="Times New Roman"/>
          <w:sz w:val="24"/>
        </w:rPr>
        <w:t>(Chen and Guestrin, 2016)</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Rather than shallow benchmarking of various algorithms, the work attempted to extensively optimize and validate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facilitating conservative calibration, interpretability, and external validation.</w:t>
      </w:r>
    </w:p>
    <w:p w14:paraId="3DFD947E" w14:textId="77777777" w:rsidR="009F3870" w:rsidRPr="00C8744E" w:rsidRDefault="009F3870" w:rsidP="009F3870">
      <w:pPr>
        <w:spacing w:after="0"/>
        <w:jc w:val="both"/>
        <w:rPr>
          <w:rFonts w:ascii="Times New Roman" w:hAnsi="Times New Roman" w:cs="Times New Roman"/>
          <w:sz w:val="24"/>
          <w:szCs w:val="24"/>
        </w:rPr>
      </w:pPr>
    </w:p>
    <w:p w14:paraId="4436695C" w14:textId="77777777" w:rsidR="009F3870" w:rsidRPr="00C8744E" w:rsidRDefault="009F3870" w:rsidP="009F3870">
      <w:pPr>
        <w:spacing w:after="0"/>
        <w:jc w:val="both"/>
        <w:rPr>
          <w:rFonts w:ascii="Times New Roman" w:hAnsi="Times New Roman" w:cs="Times New Roman"/>
          <w:sz w:val="24"/>
          <w:szCs w:val="24"/>
        </w:rPr>
      </w:pP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constructs boosted decision tree ensembles iteratively reducing errors from previous iterations. The algorithm is defined by the use of second-order gradient approximation to optimize a smooth and differentiable loss function for more convergence with no loss in accuracy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{"citationID":"Uuq2GBXj","properties":{"formattedCitation":"(Chen and Guestrin, 2016; Ke et al., 2017)","plainCitation":"(Chen and Guestrin, 2016; Ke et al., 2017)","noteIndex":0},"citationItems":[{"id":395,"uris":["http://zotero.org/users/local/PQz9MTWE/items/SBZI28U3"],"itemData":{"id":395,"type":"paper-conference","container-title":"Proceedings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893,"uris":["http://zotero.org/users/local/PQz9MTWE/items/VPBPY87S"],"itemData":{"id":893,"type":"paper-conference","abstract":"Gradient Boosting Decision Tree (GBDT) is a popular machine learning algorithm, and has quite a few effective implementations such as XGBoost and pGBRT. Although many engineering optimizations have been adopted in these implementations, the efficiency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\\emph{Gradient-based One-Side Sampling} (GOSS) and \\emph{Exclusive Feature Bundling} (EFB). With GOSS, we exclude a significant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finding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\\emph{LightGBM}. Our experiments on multiple public datasets show that, LightGBM speeds up the training process of conventional GBDT by up to over 20 times while achieving almost the same accuracy.","container-title":"Advances in Neural Information Processing Systems","publisher":"Curran Associates, Inc.","source":"Neural Information Processing Systems","title":"LightGBM: A Highly Efficient Gradient Boosting Decision Tree","title-short":"LightGBM","URL":"https://proceedings.neurips.cc/paper/2017/hash/6449f44a102fde848669bdd9eb6b76fa-Abstract.html","volume":"30","author":[{"family":"Ke","given":"Guolin"},{"family":"Meng","given":"Qi"},{"family":"Finley","given":"Thomas"},{"family":"Wang","given":"Taifeng"},{"family":"Chen","given":"Wei"},{"family":"Ma","given":"Weidong"},{"family":"Ye","given":"Qiwei"},{"family":"Liu","given":"Tie-Yan"}],"accessed":{"date-parts":[["2025",8,21]]},"issued":{"date-parts":[["2017"]]}}}],"schema":"https://github.com/citation-style-language/schema/raw/master/csl-citation.json"} </w:instrText>
      </w:r>
      <w:r>
        <w:rPr>
          <w:rFonts w:ascii="Times New Roman" w:hAnsi="Times New Roman" w:cs="Times New Roman"/>
          <w:sz w:val="24"/>
          <w:szCs w:val="24"/>
        </w:rPr>
        <w:fldChar w:fldCharType="separate"/>
      </w:r>
      <w:r w:rsidRPr="00470100">
        <w:rPr>
          <w:rFonts w:ascii="Times New Roman" w:hAnsi="Times New Roman" w:cs="Times New Roman"/>
          <w:sz w:val="24"/>
        </w:rPr>
        <w:t>(Chen and Guestrin, 2016; Ke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L1 (Lasso) and L2 (Ridge) regularization penalties prevent overfitting, while row and column subsampling prevents overdependence on certain features or samples. A decreasing learning rate (eta) sacrifices speed of convergence and generalisation, and the gamma parameter prevents too rapid a loss reduction before a split, in order to maintain tree complexity justified. These characteristics are especially suitable to cheminformatics data, where descriptors are of high dimensionality, correlated, and potentially redundant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{"citationID":"xbZ2tnUF","properties":{"formattedCitation":"(Probst et al., 2019; Walter, 2022)","plainCitation":"(Probst et al., 2019; Walter, 2022)","noteIndex":0},"citationItems":[{"id":684,"uris":["http://zotero.org/users/local/PQz9MTWE/items/W4RD2XJR"],"itemData":{"id":684,"type":"article-journal","abstract":"The random forest (RF) algorithm has several hyperparameters that have to be set by the user, for example, the number of observations drawn randomly for each tree and whether they are drawn with or without replacement, the number of variables drawn randomly for each split, the splitting rule, the minimum number of samples that a node must contain, and the number of trees. In this paper, we first provide a literature review on the parameters' influence on the prediction performance and on variable importance measures. It is well known that in most cases RF works reasonably well with the default values of the hyperparameters specified in software packages. Nevertheless, tuning the hyperparameters can improve the performance of RF. In the second part of this paper, after a presenting brief overview of tuning strategies, we demonstrate the application of one of the most established tuning strategies, model-based optimization (MBO). To make it easier to use, we provide the tuneRanger R package that tunes RF with MBO automatically. In a benchmark study on several datasets, we compare the prediction performance and runtime of tuneRanger with other tuning implementations in R and RF with default hyperparameters. This article is categorized under: Algorithmic Development &gt; Biological Data Mining Algorithmic Development &gt; Statistics Algorithmic Development &gt; Hierarchies and Trees Technologies &gt; Machine Learning","container-title":"WIREs Data Mining and Knowledge Discovery","DOI":"10.1002/widm.1301","ISSN":"1942-4795","issue":"3","language":"en","license":"© 2019 Wiley Periodicals, Inc.","note":"_eprint: https://wires.onlinelibrary.wiley.com/doi/pdf/10.1002/widm.1301","page":"e1301","source":"Wiley Online Library","title":"Hyperparameters and tuning strategies for random forest","volume":"9","author":[{"family":"Probst","given":"Philipp"},{"family":"Wright","given":"Marvin N."},{"family":"Boulesteix","given":"Anne-Laure"}],"issued":{"date-parts":[["2019"]]}}},{"id":846,"uris":["http://zotero.org/users/local/PQz9MTWE/items/5EUXRB4G"],"itemData":{"id":846,"type":"thesis","abstract":"Humans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1D561B">
        <w:rPr>
          <w:rFonts w:ascii="Times New Roman" w:hAnsi="Times New Roman" w:cs="Times New Roman"/>
          <w:sz w:val="24"/>
        </w:rPr>
        <w:t>(Probst et al., 2019; Walter, 2022)</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74C21D" w14:textId="77777777" w:rsidR="009F3870" w:rsidRPr="00C8744E" w:rsidRDefault="009F3870" w:rsidP="009F3870">
      <w:pPr>
        <w:spacing w:after="0"/>
        <w:jc w:val="both"/>
        <w:rPr>
          <w:rFonts w:ascii="Times New Roman" w:hAnsi="Times New Roman" w:cs="Times New Roman"/>
          <w:sz w:val="24"/>
          <w:szCs w:val="24"/>
        </w:rPr>
      </w:pPr>
    </w:p>
    <w:p w14:paraId="7847CE9D"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Building the model first utilized 10-fold cross-validation within the caret R package but was computationally intensive while accuracy gains were slight. As a result, the protocol was minimized to 5-fold cross-validation, a setting demonstrated satisfactory for toxicology modelling and significantly reducing runtime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{"citationID":"WhXUGtYA","properties":{"formattedCitation":"(Boulesteix et al., 2017)","plainCitation":"(Boulesteix et al., 2017)","noteIndex":0},"citationItems":[{"id":664,"uris":["http://zotero.org/users/local/PQz9MTWE/items/Z5RIHDYA"],"itemData":{"id":664,"type":"article-journal","abstract":"The goal of medical research is to develop interventions that are in some sense superior, with respect to patient outcome, to interventions currently in use. Similarly, the goal of research in methodological computational statistics is to develop data analysis tools that are themselves superior to the existing tools. The methodology of the evaluation of medical interventions continues to be discussed extensively in the literature and it is now well accepted that medicine should be at least partly “evidence-based”. Although we statisticians are convinced of the importance of unbiased, well-thought-out study designs and evidence-based approaches in the context of clinical research, we tend to ignore these principles when designing our own studies for evaluating statistical methods in the context of our methodological research.","container-title":"BMC Medical Research Methodology","DOI":"10.1186/s12874-017-0417-2","ISSN":"1471-2288","issue":"1","journalAbbreviation":"BMC Med Res Methodol","language":"en","page":"138","source":"Springer Link","title":"Towards evidence-based computational statistics: lessons from clinical research on the role and design of real-data benchmark studies","title-short":"Towards evidence-based computational statistics","volume":"17","author":[{"family":"Boulesteix","given":"Anne-Laure"},{"family":"Wilson","given":"Rory"},{"family":"Hapfelmeier","given":"Alexander"}],"issued":{"date-parts":[["2017",9,9]]}}}],"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(Boulesteix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Instead of tuning all the hyperparameters simultaneously, models were trained across single boosting rounds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to monitor classification dynamics. Performance stabilized at ~100 rounds, with further iterations making diminishing returns (Fig. 2.4.1).</w:t>
      </w:r>
    </w:p>
    <w:p w14:paraId="75CE5571" w14:textId="77777777" w:rsidR="009F3870" w:rsidRDefault="009F3870" w:rsidP="009F3870">
      <w:pPr>
        <w:spacing w:after="0"/>
        <w:jc w:val="both"/>
        <w:rPr>
          <w:rFonts w:ascii="Times New Roman" w:hAnsi="Times New Roman" w:cs="Times New Roman"/>
          <w:sz w:val="24"/>
          <w:szCs w:val="24"/>
        </w:rPr>
      </w:pPr>
    </w:p>
    <w:p w14:paraId="07B0CC5C" w14:textId="77777777" w:rsidR="009F3870" w:rsidRPr="00C8744E" w:rsidRDefault="009F3870" w:rsidP="009F3870">
      <w:pPr>
        <w:spacing w:after="0"/>
        <w:jc w:val="center"/>
        <w:rPr>
          <w:rFonts w:ascii="Times New Roman" w:hAnsi="Times New Roman" w:cs="Times New Roman"/>
          <w:sz w:val="24"/>
          <w:szCs w:val="24"/>
        </w:rPr>
      </w:pPr>
      <w:r w:rsidRPr="00093F83">
        <w:rPr>
          <w:rFonts w:ascii="Times New Roman" w:hAnsi="Times New Roman" w:cs="Times New Roman"/>
          <w:noProof/>
          <w:sz w:val="24"/>
          <w:szCs w:val="24"/>
        </w:rPr>
        <w:drawing>
          <wp:inline distT="0" distB="0" distL="0" distR="0" wp14:anchorId="5FEC061A" wp14:editId="7CB2FCCB">
            <wp:extent cx="4986866" cy="3473015"/>
            <wp:effectExtent l="0" t="0" r="4445" b="0"/>
            <wp:docPr id="420256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089" cy="3486403"/>
                    </a:xfrm>
                    <a:prstGeom prst="rect">
                      <a:avLst/>
                    </a:prstGeom>
                    <a:noFill/>
                    <a:ln>
                      <a:noFill/>
                    </a:ln>
                  </pic:spPr>
                </pic:pic>
              </a:graphicData>
            </a:graphic>
          </wp:inline>
        </w:drawing>
      </w:r>
    </w:p>
    <w:p w14:paraId="249CA616"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2.4.1.</w:t>
      </w:r>
      <w:r w:rsidRPr="00497776">
        <w:rPr>
          <w:rFonts w:ascii="Times New Roman" w:hAnsi="Times New Roman" w:cs="Times New Roman"/>
        </w:rPr>
        <w:t xml:space="preserve"> Trends in classification metrics across different boosting rounds (</w:t>
      </w:r>
      <w:proofErr w:type="spellStart"/>
      <w:r w:rsidRPr="00497776">
        <w:rPr>
          <w:rFonts w:ascii="Times New Roman" w:hAnsi="Times New Roman" w:cs="Times New Roman"/>
        </w:rPr>
        <w:t>nrounds</w:t>
      </w:r>
      <w:proofErr w:type="spellEnd"/>
      <w:r w:rsidRPr="00497776">
        <w:rPr>
          <w:rFonts w:ascii="Times New Roman" w:hAnsi="Times New Roman" w:cs="Times New Roman"/>
        </w:rPr>
        <w:t>).</w:t>
      </w:r>
    </w:p>
    <w:p w14:paraId="289C6A78" w14:textId="77777777" w:rsidR="009F3870" w:rsidRPr="00C8744E" w:rsidRDefault="009F3870" w:rsidP="009F3870">
      <w:pPr>
        <w:spacing w:after="0"/>
        <w:jc w:val="both"/>
        <w:rPr>
          <w:rFonts w:ascii="Times New Roman" w:hAnsi="Times New Roman" w:cs="Times New Roman"/>
          <w:sz w:val="24"/>
          <w:szCs w:val="24"/>
        </w:rPr>
      </w:pPr>
    </w:p>
    <w:p w14:paraId="13AD3438"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optimal parameters in the training set were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eta = 0.01, </w:t>
      </w:r>
      <w:proofErr w:type="spellStart"/>
      <w:r w:rsidRPr="00C8744E">
        <w:rPr>
          <w:rFonts w:ascii="Times New Roman" w:hAnsi="Times New Roman" w:cs="Times New Roman"/>
          <w:sz w:val="24"/>
          <w:szCs w:val="24"/>
        </w:rPr>
        <w:t>max_depth</w:t>
      </w:r>
      <w:proofErr w:type="spellEnd"/>
      <w:r w:rsidRPr="00C8744E">
        <w:rPr>
          <w:rFonts w:ascii="Times New Roman" w:hAnsi="Times New Roman" w:cs="Times New Roman"/>
          <w:sz w:val="24"/>
          <w:szCs w:val="24"/>
        </w:rPr>
        <w:t xml:space="preserve"> = 6, gamma = 5, </w:t>
      </w:r>
      <w:proofErr w:type="spellStart"/>
      <w:r w:rsidRPr="00C8744E">
        <w:rPr>
          <w:rFonts w:ascii="Times New Roman" w:hAnsi="Times New Roman" w:cs="Times New Roman"/>
          <w:sz w:val="24"/>
          <w:szCs w:val="24"/>
        </w:rPr>
        <w:t>colsample_bytree</w:t>
      </w:r>
      <w:proofErr w:type="spellEnd"/>
      <w:r w:rsidRPr="00C8744E">
        <w:rPr>
          <w:rFonts w:ascii="Times New Roman" w:hAnsi="Times New Roman" w:cs="Times New Roman"/>
          <w:sz w:val="24"/>
          <w:szCs w:val="24"/>
        </w:rPr>
        <w:t xml:space="preserve"> = 0.6, subsample = 0.6. This model was then retrained on the quality-controlled 718-compound data set (127 actives, 591 </w:t>
      </w:r>
      <w:proofErr w:type="spellStart"/>
      <w:r w:rsidRPr="00C8744E">
        <w:rPr>
          <w:rFonts w:ascii="Times New Roman" w:hAnsi="Times New Roman" w:cs="Times New Roman"/>
          <w:sz w:val="24"/>
          <w:szCs w:val="24"/>
        </w:rPr>
        <w:t>inactives</w:t>
      </w:r>
      <w:proofErr w:type="spellEnd"/>
      <w:r w:rsidRPr="00C8744E">
        <w:rPr>
          <w:rFonts w:ascii="Times New Roman" w:hAnsi="Times New Roman" w:cs="Times New Roman"/>
          <w:sz w:val="24"/>
          <w:szCs w:val="24"/>
        </w:rPr>
        <w:t xml:space="preserve">) after initial filtering and quality control had ensured chemical relevance and descriptor stability (Section 2.3). Re-training on the full curated set of data allowed the algorithm to utilize all the information </w:t>
      </w:r>
      <w:r w:rsidRPr="00C8744E">
        <w:rPr>
          <w:rFonts w:ascii="Times New Roman" w:hAnsi="Times New Roman" w:cs="Times New Roman"/>
          <w:sz w:val="24"/>
          <w:szCs w:val="24"/>
        </w:rPr>
        <w:lastRenderedPageBreak/>
        <w:t>available, a method recommended for small to moderate-sized toxicological datasets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{"citationID":"TiDd4DE9","properties":{"formattedCitation":"(Kuhn and Johnson, 2013)","plainCitation":"(Kuhn and Johnson, 2013)","noteIndex":0},"citationItems":[{"id":679,"uris":["http://zotero.org/users/local/PQz9MTWE/items/M87Q6D9A"],"itemData":{"id":679,"type":"book","event-place":"New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8,7]]},"issued":{"date-parts":[["2013"]]}}}],"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(Kuhn and Johnson, 2013)</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B90BC7" w14:textId="77777777" w:rsidR="009F3870" w:rsidRDefault="009F3870" w:rsidP="009F3870">
      <w:pPr>
        <w:spacing w:after="0"/>
        <w:jc w:val="both"/>
        <w:rPr>
          <w:rFonts w:ascii="Times New Roman" w:hAnsi="Times New Roman" w:cs="Times New Roman"/>
          <w:sz w:val="24"/>
          <w:szCs w:val="24"/>
        </w:rPr>
      </w:pPr>
    </w:p>
    <w:p w14:paraId="3405BD6A" w14:textId="77777777" w:rsidR="009F3870" w:rsidRDefault="009F3870" w:rsidP="009F3870">
      <w:pPr>
        <w:spacing w:after="0"/>
        <w:jc w:val="center"/>
        <w:rPr>
          <w:rFonts w:ascii="Times New Roman" w:hAnsi="Times New Roman" w:cs="Times New Roman"/>
          <w:sz w:val="24"/>
          <w:szCs w:val="24"/>
        </w:rPr>
      </w:pPr>
      <w:r w:rsidRPr="001E3157">
        <w:rPr>
          <w:rFonts w:ascii="Times New Roman" w:hAnsi="Times New Roman" w:cs="Times New Roman"/>
          <w:noProof/>
          <w:sz w:val="24"/>
          <w:szCs w:val="24"/>
        </w:rPr>
        <w:drawing>
          <wp:inline distT="0" distB="0" distL="0" distR="0" wp14:anchorId="7998E06B" wp14:editId="78E65FA1">
            <wp:extent cx="4529294" cy="2911475"/>
            <wp:effectExtent l="0" t="0" r="5080" b="3175"/>
            <wp:docPr id="313305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2321" cy="2926277"/>
                    </a:xfrm>
                    <a:prstGeom prst="rect">
                      <a:avLst/>
                    </a:prstGeom>
                    <a:noFill/>
                    <a:ln>
                      <a:noFill/>
                    </a:ln>
                  </pic:spPr>
                </pic:pic>
              </a:graphicData>
            </a:graphic>
          </wp:inline>
        </w:drawing>
      </w:r>
    </w:p>
    <w:p w14:paraId="5B40698B"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2.4.2.</w:t>
      </w:r>
      <w:r w:rsidRPr="00497776">
        <w:rPr>
          <w:rFonts w:ascii="Times New Roman" w:hAnsi="Times New Roman" w:cs="Times New Roman"/>
        </w:rPr>
        <w:t xml:space="preserve"> Comparative bar plot of performance metrics for models trained with </w:t>
      </w:r>
      <w:proofErr w:type="spellStart"/>
      <w:r w:rsidRPr="00497776">
        <w:rPr>
          <w:rFonts w:ascii="Times New Roman" w:hAnsi="Times New Roman" w:cs="Times New Roman"/>
        </w:rPr>
        <w:t>nrounds</w:t>
      </w:r>
      <w:proofErr w:type="spellEnd"/>
      <w:r w:rsidRPr="00497776">
        <w:rPr>
          <w:rFonts w:ascii="Times New Roman" w:hAnsi="Times New Roman" w:cs="Times New Roman"/>
        </w:rPr>
        <w:t xml:space="preserve"> = 100, 200, and 300.</w:t>
      </w:r>
    </w:p>
    <w:p w14:paraId="511DD1C3" w14:textId="77777777" w:rsidR="009F3870" w:rsidRDefault="009F3870" w:rsidP="009F3870">
      <w:pPr>
        <w:spacing w:after="0"/>
        <w:jc w:val="both"/>
        <w:rPr>
          <w:rFonts w:ascii="Times New Roman" w:hAnsi="Times New Roman" w:cs="Times New Roman"/>
          <w:sz w:val="24"/>
          <w:szCs w:val="24"/>
        </w:rPr>
      </w:pPr>
    </w:p>
    <w:p w14:paraId="0004FEA2"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Threshold optimisation was guided by Receiver Operating Characteristic (ROC) analysis, with Youden’s J statistic used to balance sensitivity and specificity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{"citationID":"uuGIBZ6S","properties":{"formattedCitation":"(Powers, 2020; Youden, 1950)","plainCitation":"(Powers, 2020; Youden, 1950)","noteIndex":0},"citationItems":[{"id":680,"uris":["http://zotero.org/users/local/PQz9MTWE/items/YY88Z7W5"],"itemData":{"id":680,"type":"article","abstract":"Commonly used evaluation measures including Recall, Precision, F-Measure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case.","DOI":"10.48550/arXiv.2010.16061","note":"arXiv:2010.16061 [cs]","number":"arXiv:2010.16061","publisher":"arXiv","source":"arXiv.org","title":"Evaluation: from precision, recall and F-measure to ROC, informedness, markedness and correlation","title-short":"Evaluation","URL":"http://arxiv.org/abs/2010.16061","author":[{"family":"Powers","given":"David M. W."}],"accessed":{"date-parts":[["2025",8,7]]},"issued":{"date-parts":[["2020",10,11]]}}},{"id":690,"uris":["http://zotero.org/users/local/PQz9MTWE/items/UGJL7EN3"],"itemData":{"id":690,"type":"article-journal","container-title":"Cancer","DOI":"10.1002/1097-0142(1950)3:1&lt;32::AID-CNCR2820030106&gt;3.0.CO;2-3","ISSN":"1097-0142","issue":"1","language":"en","license":"Copyright © 1950 American Cancer Society","note":"_eprint: https://acsjournals.onlinelibrary.wiley.com/doi/pdf/10.1002/1097-0142%281950%293%3A1%3C32%3A%3AAID-CNCR2820030106%3E3.0.CO%3B2-3","page":"32-35","source":"Wiley Online Library","title":"Index for rating diagnostic tests","volume":"3","author":[{"family":"Youden","given":"W. J."}],"issued":{"date-parts":[["1950"]]}}}],"schema":"https://github.com/citation-style-language/schema/raw/master/csl-citation.json"}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(Powers, 2020; Youden, 1950)</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Figure. 2.4.2, which were trained at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200, and 300, showed minimal divergence after over 100 rounds, confirming that this was a viable alternative. As threshold = 0.47, sensitivity rose to 92.91% (118/127 actives detected), but false positives rose to 164, reducing precision to 41.84%. This configuration is preferred whenever the cost of failing to detect a carcinogen exceeds false alarms, such as in population screening for public health</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{"citationID":"EGlPMDgh","properties":{"formattedCitation":"(Chawla et al., 2002)","plainCitation":"(Chawla et al., 2002)","noteIndex":0},"citationItems":[{"id":435,"uris":["http://zotero.org/users/local/PQz9MTWE/items/KN4ADNVQ"],"itemData":{"id":435,"type":"article-journal","abstract":"An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(Chawla et al., 2002)</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With a threshold of 0.65, false positives were reduced to 40 and raised specificity (93.23%) and precision (65.22%) but reduced sensitivity to 59.06%. supplies. This trade-off, on the threshold optimisation curve (Fig. 2.4.3), places the higher threshold more appropriately in regulatory or poverty settings where false positives are extremely expensive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{"citationID":"vPg2EvQ9","properties":{"formattedCitation":"(Hastie et al., 2009)","plainCitation":"(Hastie et al., 2009)","noteIndex":0},"citationItems":[{"id":673,"uris":["http://zotero.org/users/local/PQz9MTWE/items/CYJ99R6X"],"itemData":{"id":673,"type":"book","collection-title":"Springer Series in Statistics","event-place":"New York, NY","ISBN":"978-0-387-84857-0","language":"en","license":"http://www.springer.com/tdm","note":"DOI: 10.1007/978-0-387-84858-7","publisher":"Springer New York","publisher-place":"New York, NY","source":"DOI.org (Crossref)","title":"The Elements of Statistical Learning","URL":"http://link.springer.com/10.1007/978-0-387-84858-7","author":[{"family":"Hastie","given":"Trevor"},{"family":"Tibshirani","given":"Robert"},{"family":"Friedman","given":"Jerome"}],"accessed":{"date-parts":[["2025",8,7]]},"issued":{"date-parts":[["2009"]]}}}],"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(Hastie et al., 2009)</w:t>
      </w:r>
      <w:r>
        <w:rPr>
          <w:rFonts w:ascii="Times New Roman" w:hAnsi="Times New Roman" w:cs="Times New Roman"/>
          <w:sz w:val="24"/>
          <w:szCs w:val="24"/>
        </w:rPr>
        <w:fldChar w:fldCharType="end"/>
      </w:r>
      <w:r>
        <w:rPr>
          <w:rFonts w:ascii="Times New Roman" w:hAnsi="Times New Roman" w:cs="Times New Roman"/>
          <w:sz w:val="24"/>
          <w:szCs w:val="24"/>
        </w:rPr>
        <w:t>.</w:t>
      </w:r>
    </w:p>
    <w:p w14:paraId="5AA949B1" w14:textId="77777777" w:rsidR="009F3870" w:rsidRDefault="009F3870" w:rsidP="009F3870">
      <w:pPr>
        <w:spacing w:after="0"/>
        <w:jc w:val="both"/>
        <w:rPr>
          <w:rFonts w:ascii="Times New Roman" w:hAnsi="Times New Roman" w:cs="Times New Roman"/>
          <w:sz w:val="24"/>
          <w:szCs w:val="24"/>
        </w:rPr>
      </w:pPr>
    </w:p>
    <w:p w14:paraId="2B7CF806" w14:textId="77777777" w:rsidR="009F3870" w:rsidRDefault="009F3870" w:rsidP="009F3870">
      <w:pPr>
        <w:spacing w:after="0"/>
        <w:jc w:val="center"/>
        <w:rPr>
          <w:rFonts w:ascii="Times New Roman" w:hAnsi="Times New Roman" w:cs="Times New Roman"/>
          <w:sz w:val="24"/>
          <w:szCs w:val="24"/>
        </w:rPr>
      </w:pPr>
      <w:r w:rsidRPr="0080048B">
        <w:rPr>
          <w:rFonts w:ascii="Times New Roman" w:hAnsi="Times New Roman" w:cs="Times New Roman"/>
          <w:noProof/>
          <w:sz w:val="24"/>
          <w:szCs w:val="24"/>
        </w:rPr>
        <w:lastRenderedPageBreak/>
        <w:drawing>
          <wp:inline distT="0" distB="0" distL="0" distR="0" wp14:anchorId="38EF9FF2" wp14:editId="5BD7D583">
            <wp:extent cx="5232400" cy="4966316"/>
            <wp:effectExtent l="0" t="0" r="6350" b="6350"/>
            <wp:docPr id="262087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003" cy="4973532"/>
                    </a:xfrm>
                    <a:prstGeom prst="rect">
                      <a:avLst/>
                    </a:prstGeom>
                    <a:noFill/>
                    <a:ln>
                      <a:noFill/>
                    </a:ln>
                  </pic:spPr>
                </pic:pic>
              </a:graphicData>
            </a:graphic>
          </wp:inline>
        </w:drawing>
      </w:r>
    </w:p>
    <w:p w14:paraId="7443D505" w14:textId="77777777" w:rsidR="009F3870" w:rsidRPr="0052666A" w:rsidRDefault="009F3870" w:rsidP="009F3870">
      <w:pPr>
        <w:spacing w:after="0"/>
        <w:jc w:val="center"/>
        <w:rPr>
          <w:rFonts w:ascii="Times New Roman" w:hAnsi="Times New Roman" w:cs="Times New Roman"/>
        </w:rPr>
      </w:pPr>
      <w:r w:rsidRPr="00064F8D">
        <w:rPr>
          <w:rFonts w:ascii="Times New Roman" w:hAnsi="Times New Roman" w:cs="Times New Roman"/>
          <w:b/>
          <w:bCs/>
        </w:rPr>
        <w:t>Figure 2.4.</w:t>
      </w:r>
      <w:r>
        <w:rPr>
          <w:rFonts w:ascii="Times New Roman" w:hAnsi="Times New Roman" w:cs="Times New Roman"/>
          <w:b/>
          <w:bCs/>
        </w:rPr>
        <w:t>3</w:t>
      </w:r>
      <w:r w:rsidRPr="00064F8D">
        <w:rPr>
          <w:rFonts w:ascii="Times New Roman" w:hAnsi="Times New Roman" w:cs="Times New Roman"/>
          <w:b/>
          <w:bCs/>
        </w:rPr>
        <w:t>.</w:t>
      </w:r>
      <w:r w:rsidRPr="00064F8D">
        <w:rPr>
          <w:rFonts w:ascii="Times New Roman" w:hAnsi="Times New Roman" w:cs="Times New Roman"/>
        </w:rPr>
        <w:t xml:space="preserve"> Threshold optimization curve showing trade-offs between sensitivity, specificity, and accuracy</w:t>
      </w:r>
      <w:r>
        <w:rPr>
          <w:rFonts w:ascii="Times New Roman" w:hAnsi="Times New Roman" w:cs="Times New Roman"/>
        </w:rPr>
        <w:t xml:space="preserve"> for the final model</w:t>
      </w:r>
      <w:r w:rsidRPr="00064F8D">
        <w:rPr>
          <w:rFonts w:ascii="Times New Roman" w:hAnsi="Times New Roman" w:cs="Times New Roman"/>
        </w:rPr>
        <w:t>.</w:t>
      </w:r>
    </w:p>
    <w:p w14:paraId="69500EA9" w14:textId="77777777" w:rsidR="009F3870" w:rsidRPr="00C8744E" w:rsidRDefault="009F3870" w:rsidP="009F3870">
      <w:pPr>
        <w:spacing w:after="0"/>
        <w:jc w:val="both"/>
        <w:rPr>
          <w:rFonts w:ascii="Times New Roman" w:hAnsi="Times New Roman" w:cs="Times New Roman"/>
          <w:sz w:val="24"/>
          <w:szCs w:val="24"/>
        </w:rPr>
      </w:pPr>
    </w:p>
    <w:p w14:paraId="3F4F4E53" w14:textId="4DBE3399"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final retrained model, tuned at a ROC-derived cutoff of 0.4805, was 90.25% accurate, 93.70% sensitive, 89.51% specific, and 91.61% balanced accurate. The Kappa statistic (0.7131) further attested to </w:t>
      </w:r>
      <w:r w:rsidR="003972EA">
        <w:rPr>
          <w:rFonts w:ascii="Times New Roman" w:hAnsi="Times New Roman" w:cs="Times New Roman"/>
          <w:sz w:val="24"/>
          <w:szCs w:val="24"/>
        </w:rPr>
        <w:t xml:space="preserve">an </w:t>
      </w:r>
      <w:r w:rsidRPr="00C8744E">
        <w:rPr>
          <w:rFonts w:ascii="Times New Roman" w:hAnsi="Times New Roman" w:cs="Times New Roman"/>
          <w:sz w:val="24"/>
          <w:szCs w:val="24"/>
        </w:rPr>
        <w:t>agreement more than by chance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{"citationID":"RNSeygaF","properties":{"formattedCitation":"(Brodersen et al., 2010; Cohen, 1960)","plainCitation":"(Brodersen et al., 2010; Cohen, 1960)","noteIndex":0},"citationItems":[{"id":666,"uris":["http://zotero.org/users/local/PQz9MTWE/items/9U4UBIYZ"],"itemData":{"id":666,"type":"paper-conference","abstract":"Evaluating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accuracy.","container-title":"2010 20th International Conference on Pattern Recognition","DOI":"10.1109/ICPR.2010.764","event-title":"2010 20th International Conference on Pattern Recognition","note":"ISSN: 1051-4651","page":"3121-3124","source":"IEEE Xplore","title":"The Balanced Accuracy and Its Posterior Distribution","URL":"https://ieeexplore.ieee.org/document/5597285/","author":[{"family":"Brodersen","given":"Kay Henning"},{"family":"Ong","given":"Cheng Soon"},{"family":"Stephan","given":"Klaas Enno"},{"family":"Buhmann","given":"Joachim M."}],"accessed":{"date-parts":[["2025",8,7]]},"issued":{"date-parts":[["2010",8]]}}},{"id":790,"uris":["http://zotero.org/users/local/PQz9MTWE/items/IDSVMMGL"],"itemData":{"id":790,"type":"article-journal","container-title":"Educational and Psychological Measurement","DOI":"10.1177/001316446002000104","ISSN":"0013-1644","issue":"1","language":"EN","note":"publisher: SAGE Publications Inc","page":"37-46","source":"SAGE Journals","title":"A Coefficient of Agreement for Nominal Scales","volume":"20","author":[{"family":"Cohen","given":"Jacob"}],"issued":{"date-parts":[["1960",4,1]]}}}],"schema":"https://github.com/citation-style-language/schema/raw/master/csl-citation.json"}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(Brodersen et al., 2010; Cohen, 1960)</w:t>
      </w:r>
      <w:r>
        <w:rPr>
          <w:rFonts w:ascii="Times New Roman" w:hAnsi="Times New Roman" w:cs="Times New Roman"/>
          <w:sz w:val="24"/>
          <w:szCs w:val="24"/>
        </w:rPr>
        <w:fldChar w:fldCharType="end"/>
      </w:r>
      <w:r w:rsidRPr="00C8744E">
        <w:rPr>
          <w:rFonts w:ascii="Times New Roman" w:hAnsi="Times New Roman" w:cs="Times New Roman"/>
          <w:sz w:val="24"/>
          <w:szCs w:val="24"/>
        </w:rPr>
        <w:t>. The ROC curve (Fig. 2.4.4) also reflected an AUC value of greater than 0.90, denoting the strong discrimination power of the model between active and inactive compounds.</w:t>
      </w:r>
    </w:p>
    <w:p w14:paraId="607C9354" w14:textId="77777777" w:rsidR="009F3870" w:rsidRDefault="009F3870" w:rsidP="009F3870">
      <w:pPr>
        <w:spacing w:after="0"/>
        <w:jc w:val="both"/>
        <w:rPr>
          <w:rFonts w:ascii="Times New Roman" w:hAnsi="Times New Roman" w:cs="Times New Roman"/>
          <w:sz w:val="24"/>
          <w:szCs w:val="24"/>
        </w:rPr>
      </w:pPr>
    </w:p>
    <w:p w14:paraId="262CDACE" w14:textId="77777777" w:rsidR="009F3870" w:rsidRDefault="009F3870" w:rsidP="009F3870">
      <w:pPr>
        <w:spacing w:after="0"/>
        <w:jc w:val="center"/>
        <w:rPr>
          <w:rFonts w:ascii="Times New Roman" w:hAnsi="Times New Roman" w:cs="Times New Roman"/>
          <w:sz w:val="24"/>
          <w:szCs w:val="24"/>
        </w:rPr>
      </w:pPr>
      <w:r w:rsidRPr="00A0561C">
        <w:rPr>
          <w:rFonts w:ascii="Times New Roman" w:hAnsi="Times New Roman" w:cs="Times New Roman"/>
          <w:noProof/>
          <w:sz w:val="24"/>
          <w:szCs w:val="24"/>
        </w:rPr>
        <w:lastRenderedPageBreak/>
        <w:drawing>
          <wp:inline distT="0" distB="0" distL="0" distR="0" wp14:anchorId="0226F130" wp14:editId="518F49A5">
            <wp:extent cx="5143500" cy="3857910"/>
            <wp:effectExtent l="0" t="0" r="0" b="9525"/>
            <wp:docPr id="169679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0548" cy="3863196"/>
                    </a:xfrm>
                    <a:prstGeom prst="rect">
                      <a:avLst/>
                    </a:prstGeom>
                    <a:noFill/>
                    <a:ln>
                      <a:noFill/>
                    </a:ln>
                  </pic:spPr>
                </pic:pic>
              </a:graphicData>
            </a:graphic>
          </wp:inline>
        </w:drawing>
      </w:r>
    </w:p>
    <w:p w14:paraId="21D2C9C9" w14:textId="77777777" w:rsidR="009F3870" w:rsidRPr="0074724F" w:rsidRDefault="009F3870" w:rsidP="009F3870">
      <w:pPr>
        <w:spacing w:after="0"/>
        <w:jc w:val="center"/>
        <w:rPr>
          <w:rFonts w:ascii="Times New Roman" w:hAnsi="Times New Roman" w:cs="Times New Roman"/>
        </w:rPr>
      </w:pPr>
      <w:r w:rsidRPr="00A0561C">
        <w:rPr>
          <w:rFonts w:ascii="Times New Roman" w:hAnsi="Times New Roman" w:cs="Times New Roman"/>
          <w:b/>
          <w:bCs/>
        </w:rPr>
        <w:t>Figure 2.4.</w:t>
      </w:r>
      <w:r>
        <w:rPr>
          <w:rFonts w:ascii="Times New Roman" w:hAnsi="Times New Roman" w:cs="Times New Roman"/>
          <w:b/>
          <w:bCs/>
        </w:rPr>
        <w:t>4</w:t>
      </w:r>
      <w:r w:rsidRPr="00A0561C">
        <w:rPr>
          <w:rFonts w:ascii="Times New Roman" w:hAnsi="Times New Roman" w:cs="Times New Roman"/>
          <w:b/>
          <w:bCs/>
        </w:rPr>
        <w:t>.</w:t>
      </w:r>
      <w:r w:rsidRPr="00A0561C">
        <w:rPr>
          <w:rFonts w:ascii="Times New Roman" w:hAnsi="Times New Roman" w:cs="Times New Roman"/>
        </w:rPr>
        <w:t xml:space="preserve"> Receiver Operating Characteristic (ROC) curve of the final </w:t>
      </w:r>
      <w:proofErr w:type="spellStart"/>
      <w:r w:rsidRPr="00A0561C">
        <w:rPr>
          <w:rFonts w:ascii="Times New Roman" w:hAnsi="Times New Roman" w:cs="Times New Roman"/>
        </w:rPr>
        <w:t>XGBoost</w:t>
      </w:r>
      <w:proofErr w:type="spellEnd"/>
      <w:r w:rsidRPr="00A0561C">
        <w:rPr>
          <w:rFonts w:ascii="Times New Roman" w:hAnsi="Times New Roman" w:cs="Times New Roman"/>
        </w:rPr>
        <w:t xml:space="preserve"> model retrained on the full dataset with optimised hyperparameters. The model demonstrates strong discriminatory ability between active and inactive compounds, with an AUC indicating robust generalisation across both classes.</w:t>
      </w:r>
    </w:p>
    <w:p w14:paraId="2E93D94C" w14:textId="77777777" w:rsidR="009F3870" w:rsidRPr="00C8744E" w:rsidRDefault="009F3870" w:rsidP="009F3870">
      <w:pPr>
        <w:spacing w:after="0"/>
        <w:jc w:val="both"/>
        <w:rPr>
          <w:rFonts w:ascii="Times New Roman" w:hAnsi="Times New Roman" w:cs="Times New Roman"/>
          <w:sz w:val="24"/>
          <w:szCs w:val="24"/>
        </w:rPr>
      </w:pPr>
    </w:p>
    <w:p w14:paraId="7903F1B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All the performance measures using ROC analysis, confusion matrices, and calibration were conducted with </w:t>
      </w:r>
      <w:proofErr w:type="spellStart"/>
      <w:r w:rsidRPr="00C8744E">
        <w:rPr>
          <w:rFonts w:ascii="Times New Roman" w:hAnsi="Times New Roman" w:cs="Times New Roman"/>
          <w:sz w:val="24"/>
          <w:szCs w:val="24"/>
        </w:rPr>
        <w:t>pROC</w:t>
      </w:r>
      <w:proofErr w:type="spellEnd"/>
      <w:r w:rsidRPr="00C8744E">
        <w:rPr>
          <w:rFonts w:ascii="Times New Roman" w:hAnsi="Times New Roman" w:cs="Times New Roman"/>
          <w:sz w:val="24"/>
          <w:szCs w:val="24"/>
        </w:rPr>
        <w:t xml:space="preserve"> and caret packages of R. Reproducibility was ensured by fixing the random seeds and saving the trained objects using </w:t>
      </w:r>
      <w:proofErr w:type="spellStart"/>
      <w:r w:rsidRPr="00C8744E">
        <w:rPr>
          <w:rFonts w:ascii="Times New Roman" w:hAnsi="Times New Roman" w:cs="Times New Roman"/>
          <w:sz w:val="24"/>
          <w:szCs w:val="24"/>
        </w:rPr>
        <w:t>saveRDS</w:t>
      </w:r>
      <w:proofErr w:type="spellEnd"/>
      <w:r w:rsidRPr="00C8744E">
        <w:rPr>
          <w:rFonts w:ascii="Times New Roman" w:hAnsi="Times New Roman" w:cs="Times New Roman"/>
          <w:sz w:val="24"/>
          <w:szCs w:val="24"/>
        </w:rPr>
        <w:t xml:space="preserve">, following best practice in computational modelling and open science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{"citationID":"qzRb3TBP","properties":{"formattedCitation":"(Sandve et al., 2013; Wilkinson et al., 2016)","plainCitation":"(Sandve et al., 2013; Wilkinson et al., 2016)","noteIndex":0},"citationItems":[{"id":686,"uris":["http://zotero.org/users/local/PQz9MTWE/items/AUI28P9Z"],"itemData":{"id":686,"type":"article-journal","container-title":"PLOS Computational Biology","DOI":"10.1371/journal.pcbi.1003285","ISSN":"1553-7358","issue":"10","journalAbbreviation":"PLOS Computational Biology","language":"en","note":"publisher: Public Library of Science","page":"e1003285","source":"PLoS Journals","title":"Ten Simple Rules for Reproducible Computational Research","volume":"9","author":[{"family":"Sandve","given":"Geir Kjetil"},{"family":"Nekrutenko","given":"Anton"},{"family":"Taylor","given":"James"},{"family":"Hovig","given":"Eivind"}],"issued":{"date-parts":[["2013",10,24]]}}},{"id":581,"uris":["http://zotero.org/users/local/PQz9MTWE/items/46X9VKHY"],"itemData":{"id":581,"type":"article-journal","language":"en","source":"repository.oceanbestpractices.org","title":"The FAIR Guiding Principles for scientific data management and stewardship.","URL":"https://repository.oceanbestpractices.org/handle/11329/1290","author":[{"family":"Wilkinson","given":"Mark D."},{"family":"Dumontier","given":"Michel"},{"family":"Aalbersberg","given":"IJsbrand Jan"},{"family":"Appleton","given":"Gabrielle"},{"family":"Axton","given":"Myles"},{"family":"Baak","given":"Arie"},{"family":"Blomberg","given":"Niklas"},{"family":"Boiten","given":"Jan-Willem"},{"family":"Bonino da Silva Santos","given":"Luiz"},{"family":"Bourne","given":"Philip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 G."},{"family":"Groth","given":"Paul"},{"family":"Goble","given":"Carole"},{"family":"Grethe","given":"Jeffrey S."},{"family":"Heringa","given":"Jaap"},{"family":"Hoen","given":"Peter A. 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2025",8,1]]},"issued":{"date-parts":[["2016"]]}}}],"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(Sandve et al., 2013; Wilkinson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275C6FF7" w14:textId="77777777" w:rsidR="009F3870" w:rsidRPr="00C8744E" w:rsidRDefault="009F3870" w:rsidP="009F3870">
      <w:pPr>
        <w:spacing w:after="0"/>
        <w:jc w:val="both"/>
        <w:rPr>
          <w:rFonts w:ascii="Times New Roman" w:hAnsi="Times New Roman" w:cs="Times New Roman"/>
          <w:sz w:val="24"/>
          <w:szCs w:val="24"/>
        </w:rPr>
      </w:pPr>
    </w:p>
    <w:p w14:paraId="20402E06"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Cumulatively, this workflow demonstrates the methodological strength and toxicological appropriateness of an optimised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model, with suitably aimed optimisation. By sensitivity versus precision balancing by thresholding, the model is tuned across different use cases from precautionary screening to regulatory prioritisation. This conjunction of machine learning and toxicological thinking is the overall movement towards computational alternatives facilitating traditional assays and read-across strategies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{"citationID":"z1ZicxU6","properties":{"formattedCitation":"(Sheridan et al., 2016)","plainCitation":"(Sheridan et al., 2016)","noteIndex":0},"citationItems":[{"id":828,"uris":["http://zotero.org/users/local/PQz9MTWE/items/FXBKJV2N"],"itemData":{"id":828,"type":"article-journal","abstract":"In the pharmaceutical industry it is common to generate many QSAR models from training sets containing a large number of molecules and a large number of descriptors. The best QSAR methods are those that can generate the most accurate predictions but that are not overly expensive computationally. In this paper we compare eXtreme Gradient Boosting (XGBoost) to random forest and single-task deep neural nets on 30 in-house data sets. While XGBoost has many adjustable parameters, we can define a set of standard parameters at which XGBoost makes predictions, on the average, better than those of random forest and almost as good as those of deep neural nets. The biggest strength of XGBoost is its speed. Whereas efficient use of random forest requires generating each tree in parallel on a cluster, and deep neural nets are usually run on GPUs, XGBoost can be run on a single CPU in less than a third of the wall-clock time of either of the other methods.","container-title":"Journal of Chemical Information and Modeling","DOI":"10.1021/acs.jcim.6b00591","ISSN":"1549-9596","issue":"12","journalAbbreviation":"J. Chem. Inf. Model.","note":"publisher: American Chemical Society","page":"2353-2360","source":"ACS Publications","title":"Extreme Gradient Boosting as a Method for Quantitative Structure–Activity Relationships","volume":"56","author":[{"family":"Sheridan","given":"Robert P."},{"family":"Wang","given":"Wei Min"},{"family":"Liaw","given":"Andy"},{"family":"Ma","given":"Junshui"},{"family":"Gifford","given":"Eric M."}],"issued":{"date-parts":[["2016",12,27]]}}}],"schema":"https://github.com/citation-style-language/schema/raw/master/csl-citation.json"}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(Sheridan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5932671B" w14:textId="77777777" w:rsidR="009F3870" w:rsidRPr="00356AB9" w:rsidRDefault="009F3870" w:rsidP="009F3870">
      <w:pPr>
        <w:spacing w:after="0"/>
        <w:jc w:val="both"/>
        <w:rPr>
          <w:rFonts w:ascii="Times New Roman" w:hAnsi="Times New Roman" w:cs="Times New Roman"/>
          <w:b/>
          <w:bCs/>
          <w:sz w:val="28"/>
          <w:szCs w:val="28"/>
        </w:rPr>
      </w:pPr>
    </w:p>
    <w:p w14:paraId="7DAA6938" w14:textId="77777777" w:rsidR="009F3870" w:rsidRPr="00D80FE5" w:rsidRDefault="009F3870" w:rsidP="009F3870">
      <w:pPr>
        <w:spacing w:after="0"/>
        <w:rPr>
          <w:rFonts w:ascii="Times New Roman" w:hAnsi="Times New Roman" w:cs="Times New Roman"/>
          <w:b/>
          <w:bCs/>
          <w:sz w:val="28"/>
          <w:szCs w:val="28"/>
        </w:rPr>
      </w:pPr>
      <w:r w:rsidRPr="00D80FE5">
        <w:rPr>
          <w:rFonts w:ascii="Times New Roman" w:hAnsi="Times New Roman" w:cs="Times New Roman"/>
          <w:b/>
          <w:bCs/>
          <w:sz w:val="28"/>
          <w:szCs w:val="28"/>
        </w:rPr>
        <w:t>2.5 External Validation Based on Mass Spectral Data</w:t>
      </w:r>
    </w:p>
    <w:p w14:paraId="0D939790" w14:textId="77777777" w:rsidR="009F3870" w:rsidRPr="00D80FE5" w:rsidRDefault="009F3870" w:rsidP="009F3870">
      <w:pPr>
        <w:spacing w:after="0"/>
        <w:rPr>
          <w:rFonts w:ascii="Times New Roman" w:hAnsi="Times New Roman" w:cs="Times New Roman"/>
          <w:b/>
          <w:bCs/>
          <w:sz w:val="28"/>
          <w:szCs w:val="28"/>
        </w:rPr>
      </w:pPr>
    </w:p>
    <w:p w14:paraId="722A197F"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External validation plays an important role in determining whether a machine learning model will be able to generalise from controlled training data and make good predictions in real-world scenarios. Without testing, models would be overfitted to optimized descriptors, making them less applicable in practice and regulation. To achieve this,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which was trained was validated using high-resolution tandem mass spectrometry (MS/MS) data for the Luxembourg Centre for Systems Biomedicine (LCSB) </w:t>
      </w:r>
      <w:proofErr w:type="spellStart"/>
      <w:r w:rsidRPr="00D80FE5">
        <w:rPr>
          <w:rFonts w:ascii="Times New Roman" w:hAnsi="Times New Roman" w:cs="Times New Roman"/>
          <w:sz w:val="24"/>
          <w:szCs w:val="24"/>
        </w:rPr>
        <w:t>MassBank</w:t>
      </w:r>
      <w:proofErr w:type="spellEnd"/>
      <w:r w:rsidRPr="00D80FE5">
        <w:rPr>
          <w:rFonts w:ascii="Times New Roman" w:hAnsi="Times New Roman" w:cs="Times New Roman"/>
          <w:sz w:val="24"/>
          <w:szCs w:val="24"/>
        </w:rPr>
        <w:t xml:space="preserve">. The repository is applied </w:t>
      </w:r>
      <w:r w:rsidRPr="00D80FE5">
        <w:rPr>
          <w:rFonts w:ascii="Times New Roman" w:hAnsi="Times New Roman" w:cs="Times New Roman"/>
          <w:sz w:val="24"/>
          <w:szCs w:val="24"/>
        </w:rPr>
        <w:lastRenderedPageBreak/>
        <w:t>extensively in pipelines of non-target screening, particularly where chemical structure is unknown or partial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{"citationID":"Zb6MHSdm","properties":{"formattedCitation":"(Kind and Fiehn, 2010; Schymanski et al., 2014)","plainCitation":"(Kind and Fiehn, 2010; Schymanski et al., 2014)","noteIndex":0},"citationItems":[{"id":650,"uris":["http://zotero.org/users/local/PQz9MTWE/items/NGK696PM"],"itemData":{"id":650,"type":"article-journal","abstract":"The structural elucidation of small molecules using mass spectrometry plays an important role in modern life sciences and bioanalytical approaches. This review covers different soft and hard ionization techniques and figures of merit for modern mass spectrometers, such as mass resolving power, mass accuracy, isotopic abundance accuracy, accurate mass multiple-stage MS(n) capability, as well as hybrid mass spectrometric and orthogonal chromatographic approaches. The latter part discusses mass spectral data handling strategies, which includes background and noise subtraction, adduct formation and detection, charge state determination, accurate mass measurements, elemental composition determinations, and complex data-dependent setups with ion maps and ion trees. The importance of mass spectral library search algorithms for tandem mass spectra and multiple-stage MS(n) mass spectra as well as mass spectral tree libraries that combine multiple-stage mass spectra are outlined. The successive chapter discusses mass spectral fragmentation pathways, biotransformation reactions and drug metabolism studies, the mass spectral simulation and generation of in silico mass spectra, expert systems for mass spectral interpretation, and the use of computational chemistry to explain gas-phase phenomena. A single chapter discusses data handling for hyphenated approaches including mass spectral deconvolution for clean mass spectra, cheminformatics approaches and structure retention relationships, and retention index predictions for gas and liquid chromatography. The last section reviews the current state of electronic data sharing of mass spectra and discusses the importance of software development for the advancement of structure elucidation of small molecules.","container-title":"Bioanalytical Reviews","DOI":"10.1007/s12566-010-0015-9","ISSN":"1867-2094","issue":"1","journalAbbreviation":"Bioanal Rev","language":"en","page":"23-60","source":"Springer Link","title":"Advances in structure elucidation of small molecules using mass spectrometry","volume":"2","author":[{"family":"Kind","given":"Tobias"},{"family":"Fiehn","given":"Oliver"}],"issued":{"date-parts":[["2010",12,1]]}}},{"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(Kind and Fiehn, 2010; 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54210117" w14:textId="77777777" w:rsidR="009F3870" w:rsidRPr="00D80FE5" w:rsidRDefault="009F3870" w:rsidP="009F3870">
      <w:pPr>
        <w:spacing w:after="0"/>
        <w:jc w:val="both"/>
        <w:rPr>
          <w:rFonts w:ascii="Times New Roman" w:hAnsi="Times New Roman" w:cs="Times New Roman"/>
          <w:sz w:val="24"/>
          <w:szCs w:val="24"/>
        </w:rPr>
      </w:pPr>
    </w:p>
    <w:p w14:paraId="1133B530" w14:textId="1B1D77F6"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There were over </w:t>
      </w:r>
      <w:r w:rsidR="00E4015B">
        <w:rPr>
          <w:rFonts w:ascii="Times New Roman" w:hAnsi="Times New Roman" w:cs="Times New Roman"/>
          <w:sz w:val="24"/>
          <w:szCs w:val="24"/>
        </w:rPr>
        <w:t>2</w:t>
      </w:r>
      <w:r w:rsidRPr="00D80FE5">
        <w:rPr>
          <w:rFonts w:ascii="Times New Roman" w:hAnsi="Times New Roman" w:cs="Times New Roman"/>
          <w:sz w:val="24"/>
          <w:szCs w:val="24"/>
        </w:rPr>
        <w:t>,</w:t>
      </w:r>
      <w:r w:rsidR="00E4015B">
        <w:rPr>
          <w:rFonts w:ascii="Times New Roman" w:hAnsi="Times New Roman" w:cs="Times New Roman"/>
          <w:sz w:val="24"/>
          <w:szCs w:val="24"/>
        </w:rPr>
        <w:t>2</w:t>
      </w:r>
      <w:r w:rsidRPr="00D80FE5">
        <w:rPr>
          <w:rFonts w:ascii="Times New Roman" w:hAnsi="Times New Roman" w:cs="Times New Roman"/>
          <w:sz w:val="24"/>
          <w:szCs w:val="24"/>
        </w:rPr>
        <w:t>00 compounds in the raw dataset. There was a lot of curations required in order to select for quality: those compounds that had no identifiers, sets of metadata that were incomplete, or no experimentally derived structures were excluded. Duplicates were merged on the elemental formula level, as typically performed in non-target analysis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{"citationID":"MKDG8K6U","properties":{"formattedCitation":"(Schymanski et al., 2014)","plainCitation":"(Schymanski et al., 2014)","noteIndex":0},"citationItems":[{"id":695,"uris":["http://zotero.org/users/local/PQz9MTWE/items/MZWJWCK7"],"itemData":{"id":695,"type":"article-journal","container-title":"Environmental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 Cross-referencing with toxicological databases then left 319 compounds with labels for p53 activity, making up the final validation 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{"citationID":"8bOsn0qK","properties":{"formattedCitation":"(Judson et al., 2010; Richard et al., 2016)","plainCitation":"(Judson et al., 2010; Richard et al., 2016)","noteIndex":0},"citationItems":[{"id":219,"uris":["http://zotero.org/users/local/PQz9MTWE/items/HSFX6A66"],"itemData":{"id":219,"type":"article-journal","abstract":"BackgroundChemical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J."}],"issued":{"date-parts":[["2010",4]]}}},{"id":595,"uris":["http://zotero.org/users/local/PQz9MTWE/items/T3LN4QMC"],"itemData":{"id":595,"type":"article-journal","abstract":"The U.S. Environmental Protection Agency’s (EPA) ToxCast program is testing a large library of Agency-relevant chemicals using in vitro high-throughput screening (HTS) approaches to support the development of improved toxicity prediction models. Launched in 2007, Phase I of the program screened 310 chemicals, mostly pesticides, across hundreds of ToxCast assay end points. In Phase II, the ToxCast library was expanded to 1878 chemicals, culminating in the public release of screening data at the end of 2013. Subsequent expansion in Phase III has resulted in more than 3800 chemicals actively undergoing ToxCast screening, 96% of which are also being screened in the multi-Agency Tox21 project. The chemical library unpinning these efforts plays a central role in defining the scope and potential application of ToxCast HTS results. The history of the phased construction of EPA’s ToxCast library is reviewed, followed by a survey of the library contents from several different vantage points. CAS Registry Numbers are used to assess ToxCast library coverage of important toxicity, regulatory, and exposure inventories. Structure-based representations of ToxCast chemicals are then used to compute physicochemical properties, substructural features, and structural alerts for toxicity and biotransformation. Cheminformatics approaches using these varied representations are applied to defining the boundaries of HTS testability, evaluating chemical diversity, and comparing the ToxCast library to potential target application inventories, such as used in EPA’s Endocrine Disruption Screening Program (EDSP). Through several examples, the ToxCast chemical library is demonstrated to provide comprehensive coverage of the knowledge domains and target inventories of potential interest to EPA. Furthermore, the varied representations and approaches presented here define local chemistry domains potentially worthy of further investigation (e.g., not currently covered in the testing library or defined by toxicity “alerts”) to strategically support data mining and predictive toxicology modeling moving forward.","container-title":"Chemical Research in Toxicology","DOI":"10.1021/acs.chemrestox.6b00135","ISSN":"0893-228X","issue":"8","journalAbbreviation":"Chem. Res. Toxicol.","note":"publisher: American Chemical Society","page":"1225-1251","source":"ACS Publications","title":"ToxCast Chemical Landscape: Paving the Road to 21st Century Toxicology","title-short":"ToxCast Chemical Landscape","volume":"29","author":[{"family":"Richard","given":"Ann M."},{"family":"Judson","given":"Richard S."},{"family":"Houck","given":"Keith A."},{"family":"Grulke","given":"Christopher M."},{"family":"Volarath","given":"Patra"},{"family":"Thillainadarajah","given":"Inthirany"},{"family":"Yang","given":"Chihae"},{"family":"Rathman","given":"James"},{"family":"Martin","given":"Matthew T."},{"family":"Wambaugh","given":"John F."},{"family":"Knudsen","given":"Thomas B."},{"family":"Kancherla","given":"Jayaram"},{"family":"Mansouri","given":"Kamel"},{"family":"Patlewicz","given":"Grace"},{"family":"Williams","given":"Antony J."},{"family":"Little","given":"Stephen B."},{"family":"Crofton","given":"Kevin M."},{"family":"Thomas","given":"Russell S."}],"issued":{"date-parts":[["2016",8,15]]}}}],"schema":"https://github.com/citation-style-language/schema/raw/master/csl-citation.json"}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(Judson et al., 2010; Richard et al., 2016)</w:t>
      </w:r>
      <w:r>
        <w:rPr>
          <w:rFonts w:ascii="Times New Roman" w:hAnsi="Times New Roman" w:cs="Times New Roman"/>
          <w:sz w:val="24"/>
          <w:szCs w:val="24"/>
        </w:rPr>
        <w:fldChar w:fldCharType="end"/>
      </w:r>
      <w:r w:rsidRPr="00D80FE5">
        <w:rPr>
          <w:rFonts w:ascii="Times New Roman" w:hAnsi="Times New Roman" w:cs="Times New Roman"/>
          <w:sz w:val="24"/>
          <w:szCs w:val="24"/>
        </w:rPr>
        <w:t>. This reduction indicates the extent of harmonisation and quality control that is needed to get good external datasets.</w:t>
      </w:r>
    </w:p>
    <w:p w14:paraId="07BAA026" w14:textId="77777777" w:rsidR="009F3870" w:rsidRPr="00D80FE5" w:rsidRDefault="009F3870" w:rsidP="009F3870">
      <w:pPr>
        <w:spacing w:after="0"/>
        <w:jc w:val="both"/>
        <w:rPr>
          <w:rFonts w:ascii="Times New Roman" w:hAnsi="Times New Roman" w:cs="Times New Roman"/>
          <w:sz w:val="24"/>
          <w:szCs w:val="24"/>
        </w:rPr>
      </w:pPr>
    </w:p>
    <w:p w14:paraId="1D9E7DA4"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Spectral fingerprints were generated from MS/MS fragmentations by </w:t>
      </w:r>
      <w:proofErr w:type="spellStart"/>
      <w:r w:rsidRPr="00D80FE5">
        <w:rPr>
          <w:rFonts w:ascii="Times New Roman" w:hAnsi="Times New Roman" w:cs="Times New Roman"/>
          <w:sz w:val="24"/>
          <w:szCs w:val="24"/>
        </w:rPr>
        <w:t>CSI:FingerID</w:t>
      </w:r>
      <w:proofErr w:type="spellEnd"/>
      <w:r w:rsidRPr="00D80FE5">
        <w:rPr>
          <w:rFonts w:ascii="Times New Roman" w:hAnsi="Times New Roman" w:cs="Times New Roman"/>
          <w:sz w:val="24"/>
          <w:szCs w:val="24"/>
        </w:rPr>
        <w:t xml:space="preserve"> in SIRIUS v5.6.3</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{"citationID":"xIyikhjY","properties":{"formattedCitation":"(D\\uc0\\u252{}hrkop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(Dührkop et al., 2019)</w:t>
      </w:r>
      <w:r>
        <w:rPr>
          <w:rFonts w:ascii="Times New Roman" w:hAnsi="Times New Roman" w:cs="Times New Roman"/>
          <w:sz w:val="24"/>
          <w:szCs w:val="24"/>
        </w:rPr>
        <w:fldChar w:fldCharType="end"/>
      </w:r>
      <w:r w:rsidRPr="00D80FE5">
        <w:rPr>
          <w:rFonts w:ascii="Times New Roman" w:hAnsi="Times New Roman" w:cs="Times New Roman"/>
          <w:sz w:val="24"/>
          <w:szCs w:val="24"/>
        </w:rPr>
        <w:t>. As opposed to cheminformatics descriptors calculated directly from molecular structures, these fingerprints are calculated in a direct fashion from spectra, which introduces what is referred to as a domain shift</w:t>
      </w:r>
      <w:r>
        <w:rPr>
          <w:rFonts w:ascii="Times New Roman" w:hAnsi="Times New Roman" w:cs="Times New Roman"/>
          <w:sz w:val="24"/>
          <w:szCs w:val="24"/>
        </w:rPr>
        <w:t xml:space="preserve"> </w:t>
      </w:r>
      <w:r w:rsidRPr="00D80FE5">
        <w:rPr>
          <w:rFonts w:ascii="Times New Roman" w:hAnsi="Times New Roman" w:cs="Times New Roman"/>
          <w:sz w:val="24"/>
          <w:szCs w:val="24"/>
        </w:rPr>
        <w:t>a systematic gap between the training and test feature space distributions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{"citationID":"7BwSvmYM","properties":{"formattedCitation":"(Quinonero-Candela et al., 2022; Sugiyama et al., n.d.)","plainCitation":"(Quinonero-Candela et al., 2022; Sugiyama et al., n.d.)","noteIndex":0},"citationItems":[{"id":712,"uris":["http://zotero.org/users/local/PQz9MTWE/items/99XJ6HFJ"],"itemData":{"id":712,"type":"book","abstract":"An overview of recent efforts in the machine learning community to deal with dataset and covariate shift, which occurs when test and training inputs and outputs have different distributions.Dataset shift is a common problem in predictive modeling that occurs when the joint distribution of inputs and outputs differs between training and test stages. Covariate shift, a particular case of dataset shift, occurs when only the input distribution changes. Dataset shift is present in most practical applications, for reasons ranging from the bias introduced by experimental design to the irreproducibility of the testing conditions at training time. (An example is -email spam filtering, which may fail to recognize spam that differs in form from the spam the automatic filter has been built on.) Despite this, and despite the attention given to the apparently similar problems of semi-supervised learning and active learning, dataset shift has received relatively little attention in the machine learning community until recently. This volume offers an overview of current efforts to deal with dataset and covariate shift. The chapters offer a mathematical and philosophical introduction to the problem, place dataset shift in relationship to transfer learning, transduction, local learning, active learning, and semi-supervised learning, provide theoretical views of dataset and covariate shift (including decision theoretic and Bayesian perspectives), and present algorithms for covariate shift. Contributors: Shai Ben-David, Steffen Bickel, Karsten Borgwardt, Michael Brückner, David Corfield, Amir Globerson, Arthur Gretton, Lars Kai Hansen, Matthias Hein, Jiayuan Huang, Choon Hui Teo, Takafumi Kanamori, Klaus-Robert Müller, Sam Roweis, Neil Rubens, Tobias Scheffer, Marcel Schmittfull, Bernhard Schölkopf Hidetoshi Shimodaira, Alex Smola, Amos Storkey, Masashi Sugiyama","ISBN":"978-0-262-54587-7","language":"en","note":"Google-Books-ID: MBZuEAAAQBAJ","number-of-pages":"246","publisher":"MIT Press","source":"Google Books","title":"Dataset Shift in Machine Learning","author":[{"family":"Quinonero-Candela","given":"Joaquin"},{"family":"Sugiyama","given":"Masashi"},{"family":"Schwaighofer","given":"Anton"},{"family":"Lawrence","given":"Neil D."}],"issued":{"date-parts":[["2022",6,7]]}}},{"id":784,"uris":["http://zotero.org/users/local/PQz9MTWE/items/WMX6BN39"],"itemData":{"id":784,"type":"article-journal","abstract":"A common assumption in supervised learning is that the input points in the training set follow the same probability distribution as the input points that will be given in the future test phase. However, this assumption is not satisﬁed, for example, when the outside of the training region is extrapolated. The situation where the training input points and test input points follow different distributions while the conditional distribution of output values given input points is unchanged is called the covariate shift. Under the covariate shift, standard model selection techniques such as cross validation do not work as desired since its unbiasedness is no longer maintained. In this paper, we propose a new method called importance weighted cross validation (IWCV), for which we prove its unbiasedness even under the covariate shift. The IWCV procedure is the only one that can be applied for unbiased classiﬁcation under covariate shift, whereas alternatives to IWCV exist for regression. The usefulness of our proposed method is illustrated by simulations, and furthermore demonstrated in the brain-computer interface, where strong non-stationarity effects can be seen between training and test sessions.","language":"en","source":"Zotero","title":"Covariate Shift Adaptation by Importance Weighted Cross Validation","author":[{"family":"Sugiyama","given":"Masashi"},{"family":"Jp","given":"Cs Titech Ac"},{"family":"Krauledat","given":"Matthias"},{"family":"Krauledat","given":"Matthias"}]}}],"schema":"https://github.com/citation-style-language/schema/raw/master/csl-citation.json"}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(Quinonero-Candela et al., 2022; Sugiyama et al., n.d.)</w:t>
      </w:r>
      <w:r>
        <w:rPr>
          <w:rFonts w:ascii="Times New Roman" w:hAnsi="Times New Roman" w:cs="Times New Roman"/>
          <w:sz w:val="24"/>
          <w:szCs w:val="24"/>
        </w:rPr>
        <w:fldChar w:fldCharType="end"/>
      </w:r>
      <w:r w:rsidRPr="00D80FE5">
        <w:rPr>
          <w:rFonts w:ascii="Times New Roman" w:hAnsi="Times New Roman" w:cs="Times New Roman"/>
          <w:sz w:val="24"/>
          <w:szCs w:val="24"/>
        </w:rPr>
        <w:t>. To assist in counterbalancing this, spectral features were mapped to the model development descriptor schema and the same preprocessing steps (z-score scaling, near-zero variance filtering, correlation filtering) applied to the features to maintain consistency.</w:t>
      </w:r>
    </w:p>
    <w:p w14:paraId="6446BA04" w14:textId="77777777" w:rsidR="009F3870" w:rsidRDefault="009F3870" w:rsidP="009F3870">
      <w:pPr>
        <w:spacing w:after="0"/>
        <w:jc w:val="both"/>
        <w:rPr>
          <w:rFonts w:ascii="Times New Roman" w:hAnsi="Times New Roman" w:cs="Times New Roman"/>
          <w:sz w:val="24"/>
          <w:szCs w:val="24"/>
        </w:rPr>
      </w:pPr>
    </w:p>
    <w:p w14:paraId="085B2990" w14:textId="77777777" w:rsidR="009F3870" w:rsidRDefault="009F3870" w:rsidP="009F3870">
      <w:pPr>
        <w:spacing w:after="0"/>
        <w:jc w:val="center"/>
        <w:rPr>
          <w:rFonts w:ascii="Times New Roman" w:hAnsi="Times New Roman" w:cs="Times New Roman"/>
          <w:sz w:val="24"/>
          <w:szCs w:val="24"/>
        </w:rPr>
      </w:pPr>
      <w:r w:rsidRPr="006C66BA">
        <w:rPr>
          <w:rFonts w:ascii="Times New Roman" w:hAnsi="Times New Roman" w:cs="Times New Roman"/>
          <w:noProof/>
          <w:sz w:val="24"/>
          <w:szCs w:val="24"/>
        </w:rPr>
        <w:drawing>
          <wp:inline distT="0" distB="0" distL="0" distR="0" wp14:anchorId="255768F6" wp14:editId="72AF23DD">
            <wp:extent cx="5234940" cy="4188068"/>
            <wp:effectExtent l="0" t="0" r="3810" b="3175"/>
            <wp:docPr id="1907162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4924" cy="4196055"/>
                    </a:xfrm>
                    <a:prstGeom prst="rect">
                      <a:avLst/>
                    </a:prstGeom>
                    <a:noFill/>
                    <a:ln>
                      <a:noFill/>
                    </a:ln>
                  </pic:spPr>
                </pic:pic>
              </a:graphicData>
            </a:graphic>
          </wp:inline>
        </w:drawing>
      </w:r>
    </w:p>
    <w:p w14:paraId="2C562153" w14:textId="77777777" w:rsidR="009F3870" w:rsidRPr="00FF08E2" w:rsidRDefault="009F3870" w:rsidP="009F3870">
      <w:pPr>
        <w:spacing w:after="0"/>
        <w:jc w:val="center"/>
        <w:rPr>
          <w:rFonts w:ascii="Times New Roman" w:hAnsi="Times New Roman" w:cs="Times New Roman"/>
          <w:b/>
          <w:bCs/>
        </w:rPr>
      </w:pPr>
      <w:r w:rsidRPr="007061A6">
        <w:rPr>
          <w:rFonts w:ascii="Times New Roman" w:hAnsi="Times New Roman" w:cs="Times New Roman"/>
          <w:b/>
          <w:bCs/>
        </w:rPr>
        <w:t>Figure 2.5.</w:t>
      </w:r>
      <w:r>
        <w:rPr>
          <w:rFonts w:ascii="Times New Roman" w:hAnsi="Times New Roman" w:cs="Times New Roman"/>
          <w:b/>
          <w:bCs/>
        </w:rPr>
        <w:t>1</w:t>
      </w:r>
      <w:r w:rsidRPr="007061A6">
        <w:rPr>
          <w:rFonts w:ascii="Times New Roman" w:hAnsi="Times New Roman" w:cs="Times New Roman"/>
          <w:b/>
          <w:bCs/>
        </w:rPr>
        <w:t xml:space="preserve">. </w:t>
      </w:r>
      <w:r w:rsidRPr="007061A6">
        <w:rPr>
          <w:rFonts w:ascii="Times New Roman" w:hAnsi="Times New Roman" w:cs="Times New Roman"/>
        </w:rPr>
        <w:t xml:space="preserve">SHAP dependence plots for the top 15 features (e.g., exact mass, Un714, Un8428), showing </w:t>
      </w:r>
      <w:r w:rsidRPr="00765CE2">
        <w:rPr>
          <w:rFonts w:ascii="Times New Roman" w:hAnsi="Times New Roman" w:cs="Times New Roman"/>
        </w:rPr>
        <w:t>how increasing or decreasing feature values (colour-coded by intensity) influence carcinogenicity predictions.</w:t>
      </w:r>
    </w:p>
    <w:p w14:paraId="7F4946D7" w14:textId="77777777" w:rsidR="009F3870" w:rsidRDefault="009F3870" w:rsidP="009F3870">
      <w:pPr>
        <w:spacing w:after="0"/>
        <w:jc w:val="both"/>
        <w:rPr>
          <w:rFonts w:ascii="Times New Roman" w:hAnsi="Times New Roman" w:cs="Times New Roman"/>
          <w:sz w:val="24"/>
          <w:szCs w:val="24"/>
        </w:rPr>
      </w:pPr>
    </w:p>
    <w:p w14:paraId="392F9034"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Feature interpretability was verified using SHAP dependence plots for the 15 most informative variables (Figure 2.5.1). These revealed that higher monoisotopic mass values were more likely to make positive contributions to carcinogenicity prediction, and binary fingerprints such as Un714 and Un8428 display clear presence</w:t>
      </w:r>
      <w:r>
        <w:rPr>
          <w:rFonts w:ascii="Times New Roman" w:hAnsi="Times New Roman" w:cs="Times New Roman"/>
          <w:sz w:val="24"/>
          <w:szCs w:val="24"/>
        </w:rPr>
        <w:t xml:space="preserve"> </w:t>
      </w:r>
      <w:r w:rsidRPr="00D80FE5">
        <w:rPr>
          <w:rFonts w:ascii="Times New Roman" w:hAnsi="Times New Roman" w:cs="Times New Roman"/>
          <w:sz w:val="24"/>
          <w:szCs w:val="24"/>
        </w:rPr>
        <w:t>absence effects with strong impacts on results. This confirmed that even during domain shift, the model retained chemically interpretable decision logic.</w:t>
      </w:r>
    </w:p>
    <w:p w14:paraId="70BBFC85" w14:textId="77777777" w:rsidR="009F3870" w:rsidRDefault="009F3870" w:rsidP="009F3870">
      <w:pPr>
        <w:spacing w:after="0"/>
        <w:jc w:val="both"/>
        <w:rPr>
          <w:rFonts w:ascii="Times New Roman" w:hAnsi="Times New Roman" w:cs="Times New Roman"/>
          <w:sz w:val="24"/>
          <w:szCs w:val="24"/>
        </w:rPr>
      </w:pPr>
    </w:p>
    <w:p w14:paraId="76D36E27"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noProof/>
        </w:rPr>
        <w:drawing>
          <wp:inline distT="0" distB="0" distL="0" distR="0" wp14:anchorId="48FA0803" wp14:editId="74F83FA9">
            <wp:extent cx="5731510" cy="2521518"/>
            <wp:effectExtent l="0" t="0" r="2540" b="0"/>
            <wp:docPr id="19795419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21518"/>
                    </a:xfrm>
                    <a:prstGeom prst="rect">
                      <a:avLst/>
                    </a:prstGeom>
                    <a:noFill/>
                    <a:ln>
                      <a:noFill/>
                    </a:ln>
                  </pic:spPr>
                </pic:pic>
              </a:graphicData>
            </a:graphic>
          </wp:inline>
        </w:drawing>
      </w:r>
    </w:p>
    <w:p w14:paraId="2835C77B"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2.5.2.</w:t>
      </w:r>
      <w:r w:rsidRPr="004D5C77">
        <w:rPr>
          <w:rFonts w:ascii="Times New Roman" w:hAnsi="Times New Roman" w:cs="Times New Roman"/>
        </w:rPr>
        <w:t xml:space="preserve"> Calibration plots showing that Platt scaling improved probability reliability over isotonic regression, with lower Brier scores and ECE.</w:t>
      </w:r>
    </w:p>
    <w:p w14:paraId="32327028" w14:textId="77777777" w:rsidR="009F3870" w:rsidRPr="00D80FE5" w:rsidRDefault="009F3870" w:rsidP="009F3870">
      <w:pPr>
        <w:spacing w:after="0"/>
        <w:jc w:val="both"/>
        <w:rPr>
          <w:rFonts w:ascii="Times New Roman" w:hAnsi="Times New Roman" w:cs="Times New Roman"/>
          <w:sz w:val="24"/>
          <w:szCs w:val="24"/>
        </w:rPr>
      </w:pPr>
    </w:p>
    <w:p w14:paraId="54058A64" w14:textId="00D26F16"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Tests of calibration also measured reliability of probability. Platt scaling and isotonic regression are contrasted with the uncalibrated model in Figure 2.5.2. Platt scaling, based on logistic mapping from raw scores, reduced the Brier score and expected calibration error (ECE) to deliver better-calibrated probabilities</w:t>
      </w:r>
      <w:r w:rsidR="00C1382E">
        <w:rPr>
          <w:rFonts w:ascii="Times New Roman" w:hAnsi="Times New Roman" w:cs="Times New Roman"/>
          <w:sz w:val="24"/>
          <w:szCs w:val="24"/>
        </w:rPr>
        <w:t xml:space="preserve"> </w:t>
      </w:r>
      <w:r w:rsidR="00C1382E">
        <w:rPr>
          <w:rFonts w:ascii="Times New Roman" w:hAnsi="Times New Roman" w:cs="Times New Roman"/>
          <w:sz w:val="24"/>
          <w:szCs w:val="24"/>
        </w:rPr>
        <w:fldChar w:fldCharType="begin"/>
      </w:r>
      <w:r w:rsidR="00C1382E">
        <w:rPr>
          <w:rFonts w:ascii="Times New Roman" w:hAnsi="Times New Roman" w:cs="Times New Roman"/>
          <w:sz w:val="24"/>
          <w:szCs w:val="24"/>
        </w:rPr>
        <w:instrText xml:space="preserve"> ADDIN ZOTERO_ITEM CSL_CITATION {"citationID":"QFa9wXwp","properties":{"formattedCitation":"(Guo et al., 2017; Niculescu-Mizil and Caruana, 2005)","plainCitation":"(Guo et al., 2017; Niculescu-Mizil and Caruana, 2005)","noteIndex":0},"citationItems":[{"id":852,"uris":["http://zotero.org/users/local/PQz9MTWE/items/JB8ZCR33"],"itemData":{"id":852,"type":"article-journal","abstract":"Conﬁdence calibration – the problem of predicting probability estimates representative of the true correctness likelihood – is important for classiﬁcation models in many applications. We discover that modern neural networks, unlike those from a decade ago, are poorly calibrated. Through extensive experiments, we observe that depth, width, weight decay, and Batch Normalization are important factors inﬂuencing calibration. We evaluate the performance of various post-processing calibration methods on state-ofthe-art architectures with image and document classiﬁcation datasets. Our analysis and experiments not only offer insights into neural network learning, but also provide a simple and straightforward recipe for practical settings: on most datasets, temperature scaling – a singleparameter variant of Platt Scaling – is surprisingly effective at calibrating predictions.","language":"en","source":"Zotero","title":"On Calibration of Modern Neural Networks","author":[{"family":"Guo","given":"Chuan"},{"family":"Pleiss","given":"Geoff"},{"family":"Sun","given":"Yu"},{"family":"Weinberger","given":"Kilian Q"}],"issued":{"date-parts":[["2017"]]}}},{"id":850,"uris":["http://zotero.org/users/local/PQz9MTWE/items/XIBAB4KQ"],"itemData":{"id":850,"type":"paper-conference","abstract":"We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probabilities.","container-title":"Proceedings of the 22nd international conference on Machine learning  - ICML '05","DOI":"10.1145/1102351.1102430","event-place":"Bonn, Germany","event-title":"the 22nd international conference","ISBN":"978-1-59593-180-1","language":"en","license":"https://www.acm.org/publications/policies/copyright_policy#Background","page":"625-632","publisher":"ACM Press","publisher-place":"Bonn, Germany","source":"DOI.org (Crossref)","title":"Predicting good probabilities with supervised learning","URL":"http://portal.acm.org/citation.cfm?doid=1102351.1102430","author":[{"family":"Niculescu-Mizil","given":"Alexandru"},{"family":"Caruana","given":"Rich"}],"accessed":{"date-parts":[["2025",8,18]]},"issued":{"date-parts":[["2005"]]}}}],"schema":"https://github.com/citation-style-language/schema/raw/master/csl-citation.json"} </w:instrText>
      </w:r>
      <w:r w:rsidR="00C1382E">
        <w:rPr>
          <w:rFonts w:ascii="Times New Roman" w:hAnsi="Times New Roman" w:cs="Times New Roman"/>
          <w:sz w:val="24"/>
          <w:szCs w:val="24"/>
        </w:rPr>
        <w:fldChar w:fldCharType="separate"/>
      </w:r>
      <w:r w:rsidR="00C1382E" w:rsidRPr="00C1382E">
        <w:rPr>
          <w:rFonts w:ascii="Times New Roman" w:hAnsi="Times New Roman" w:cs="Times New Roman"/>
          <w:sz w:val="24"/>
        </w:rPr>
        <w:t>(Guo et al., 2017; Niculescu-Mizil and Caruana, 2005)</w:t>
      </w:r>
      <w:r w:rsidR="00C1382E">
        <w:rPr>
          <w:rFonts w:ascii="Times New Roman" w:hAnsi="Times New Roman" w:cs="Times New Roman"/>
          <w:sz w:val="24"/>
          <w:szCs w:val="24"/>
        </w:rPr>
        <w:fldChar w:fldCharType="end"/>
      </w:r>
      <w:r w:rsidRPr="00D80FE5">
        <w:rPr>
          <w:rFonts w:ascii="Times New Roman" w:hAnsi="Times New Roman" w:cs="Times New Roman"/>
          <w:sz w:val="24"/>
          <w:szCs w:val="24"/>
        </w:rPr>
        <w:t>. Isotonic regression, by contrast, delivered evidence of overfitting the relatively small validation set, corroborating Platt scaling as the superior correction.</w:t>
      </w:r>
    </w:p>
    <w:p w14:paraId="739B12B0" w14:textId="77777777" w:rsidR="009F3870" w:rsidRDefault="009F3870" w:rsidP="009F3870">
      <w:pPr>
        <w:spacing w:after="0"/>
        <w:jc w:val="both"/>
        <w:rPr>
          <w:rFonts w:ascii="Times New Roman" w:hAnsi="Times New Roman" w:cs="Times New Roman"/>
          <w:sz w:val="24"/>
          <w:szCs w:val="24"/>
        </w:rPr>
      </w:pPr>
    </w:p>
    <w:p w14:paraId="1F28ED84" w14:textId="77777777" w:rsidR="009F3870" w:rsidRPr="004D5C77" w:rsidRDefault="009F3870" w:rsidP="009F3870">
      <w:pPr>
        <w:spacing w:after="0"/>
        <w:jc w:val="center"/>
        <w:rPr>
          <w:rFonts w:ascii="Times New Roman" w:hAnsi="Times New Roman" w:cs="Times New Roman"/>
        </w:rPr>
      </w:pPr>
      <w:r w:rsidRPr="004D5C77">
        <w:rPr>
          <w:noProof/>
        </w:rPr>
        <w:drawing>
          <wp:inline distT="0" distB="0" distL="0" distR="0" wp14:anchorId="43D60806" wp14:editId="228FACD9">
            <wp:extent cx="4198620" cy="2600299"/>
            <wp:effectExtent l="0" t="0" r="0" b="0"/>
            <wp:docPr id="46097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8575" cy="2606464"/>
                    </a:xfrm>
                    <a:prstGeom prst="rect">
                      <a:avLst/>
                    </a:prstGeom>
                    <a:noFill/>
                    <a:ln>
                      <a:noFill/>
                    </a:ln>
                  </pic:spPr>
                </pic:pic>
              </a:graphicData>
            </a:graphic>
          </wp:inline>
        </w:drawing>
      </w:r>
    </w:p>
    <w:p w14:paraId="002C92EF"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2.5.3.</w:t>
      </w:r>
      <w:r w:rsidRPr="004D5C77">
        <w:rPr>
          <w:rFonts w:ascii="Times New Roman" w:hAnsi="Times New Roman" w:cs="Times New Roman"/>
        </w:rPr>
        <w:t xml:space="preserve"> Confusion matrix and contingency table of predicted vs. actual activity classes in the external validation dataset.</w:t>
      </w:r>
    </w:p>
    <w:p w14:paraId="490D9438" w14:textId="77777777" w:rsidR="009F3870" w:rsidRPr="00D80FE5" w:rsidRDefault="009F3870" w:rsidP="009F3870">
      <w:pPr>
        <w:spacing w:after="0"/>
        <w:jc w:val="both"/>
        <w:rPr>
          <w:rFonts w:ascii="Times New Roman" w:hAnsi="Times New Roman" w:cs="Times New Roman"/>
          <w:sz w:val="24"/>
          <w:szCs w:val="24"/>
        </w:rPr>
      </w:pPr>
    </w:p>
    <w:p w14:paraId="28FC076E"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 performance results are listed in the confusion matrix (Figure 2.5.3). The model was 72.36% correct: 17 carcinogens were correctly predicted (true positives) and 18 were left out (false negatives), and 216 </w:t>
      </w:r>
      <w:proofErr w:type="spellStart"/>
      <w:r w:rsidRPr="00D80FE5">
        <w:rPr>
          <w:rFonts w:ascii="Times New Roman" w:hAnsi="Times New Roman" w:cs="Times New Roman"/>
          <w:sz w:val="24"/>
          <w:szCs w:val="24"/>
        </w:rPr>
        <w:t>inactives</w:t>
      </w:r>
      <w:proofErr w:type="spellEnd"/>
      <w:r w:rsidRPr="00D80FE5">
        <w:rPr>
          <w:rFonts w:ascii="Times New Roman" w:hAnsi="Times New Roman" w:cs="Times New Roman"/>
          <w:sz w:val="24"/>
          <w:szCs w:val="24"/>
        </w:rPr>
        <w:t xml:space="preserve"> were correctly predicted (true negatives) and 71 were incorrectly predicted to be carcinogens (false positives). These results are equivalent to 48.6% sensitivity, 75.3% specificity, and balanced accuracy of 62.0%. Bootstrapped resampling (1,000 replicates) placed the general accuracy between 67–77%, which indicates robustness in the presence of the small size of the dataset. In contrast to the ~91% balanced accuracy in Section 2.4 for carefully curated fingerprints, the degradation highlights the cost of domain shift. This level of reduction is, nonetheless, within the earlier studies seen within the literature, whereby cross-validation over spectral fingerprints would typically log 70–75% accuracies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{"citationID":"1PwgSvOM","properties":{"formattedCitation":"(D\\uc0\\u252{}hrkop et al., 2019; Peets et al., 2022; Walter, 2022)","plainCitation":"(Dührkop et al., 2019; Peets et al., 2022;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Peets et al., 2022;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67B5DC14" w14:textId="77777777" w:rsidR="009F3870" w:rsidRDefault="009F3870" w:rsidP="009F3870">
      <w:pPr>
        <w:spacing w:after="0"/>
        <w:jc w:val="both"/>
        <w:rPr>
          <w:rFonts w:ascii="Times New Roman" w:hAnsi="Times New Roman" w:cs="Times New Roman"/>
          <w:sz w:val="24"/>
          <w:szCs w:val="24"/>
        </w:rPr>
      </w:pPr>
    </w:p>
    <w:p w14:paraId="46C8D24B" w14:textId="77777777" w:rsidR="009F3870" w:rsidRDefault="009F3870" w:rsidP="009F3870">
      <w:pPr>
        <w:spacing w:after="0"/>
        <w:jc w:val="center"/>
        <w:rPr>
          <w:rFonts w:ascii="Times New Roman" w:hAnsi="Times New Roman" w:cs="Times New Roman"/>
          <w:sz w:val="24"/>
          <w:szCs w:val="24"/>
        </w:rPr>
      </w:pPr>
      <w:r w:rsidRPr="002E0CA8">
        <w:rPr>
          <w:rFonts w:ascii="Times New Roman" w:hAnsi="Times New Roman" w:cs="Times New Roman"/>
          <w:noProof/>
          <w:sz w:val="24"/>
          <w:szCs w:val="24"/>
        </w:rPr>
        <w:drawing>
          <wp:inline distT="0" distB="0" distL="0" distR="0" wp14:anchorId="35DD17E1" wp14:editId="233CF7B9">
            <wp:extent cx="5323447" cy="3992880"/>
            <wp:effectExtent l="0" t="0" r="0" b="7620"/>
            <wp:docPr id="9713674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3447" cy="3992880"/>
                    </a:xfrm>
                    <a:prstGeom prst="rect">
                      <a:avLst/>
                    </a:prstGeom>
                    <a:noFill/>
                    <a:ln>
                      <a:noFill/>
                    </a:ln>
                  </pic:spPr>
                </pic:pic>
              </a:graphicData>
            </a:graphic>
          </wp:inline>
        </w:drawing>
      </w:r>
    </w:p>
    <w:p w14:paraId="213857B9" w14:textId="77777777" w:rsidR="009F3870" w:rsidRPr="00783AF1" w:rsidRDefault="009F3870" w:rsidP="009F3870">
      <w:pPr>
        <w:spacing w:after="0"/>
        <w:jc w:val="center"/>
        <w:rPr>
          <w:rFonts w:ascii="Times New Roman" w:hAnsi="Times New Roman" w:cs="Times New Roman"/>
        </w:rPr>
      </w:pPr>
      <w:r w:rsidRPr="00165382">
        <w:rPr>
          <w:rFonts w:ascii="Times New Roman" w:hAnsi="Times New Roman" w:cs="Times New Roman"/>
          <w:b/>
          <w:bCs/>
        </w:rPr>
        <w:t>Figure 2.5.</w:t>
      </w:r>
      <w:r>
        <w:rPr>
          <w:rFonts w:ascii="Times New Roman" w:hAnsi="Times New Roman" w:cs="Times New Roman"/>
          <w:b/>
          <w:bCs/>
        </w:rPr>
        <w:t>4</w:t>
      </w:r>
      <w:r w:rsidRPr="00EC0BCC">
        <w:rPr>
          <w:rFonts w:ascii="Times New Roman" w:hAnsi="Times New Roman" w:cs="Times New Roman"/>
        </w:rPr>
        <w:t xml:space="preserve"> SHAP </w:t>
      </w:r>
      <w:proofErr w:type="spellStart"/>
      <w:r w:rsidRPr="00EC0BCC">
        <w:rPr>
          <w:rFonts w:ascii="Times New Roman" w:hAnsi="Times New Roman" w:cs="Times New Roman"/>
        </w:rPr>
        <w:t>beeswarm</w:t>
      </w:r>
      <w:proofErr w:type="spellEnd"/>
      <w:r w:rsidRPr="00EC0BCC">
        <w:rPr>
          <w:rFonts w:ascii="Times New Roman" w:hAnsi="Times New Roman" w:cs="Times New Roman"/>
        </w:rPr>
        <w:t xml:space="preserve"> summary plot with SMILES annotations for the top 25 features, linking structural motifs to predicted carcinogenicity.</w:t>
      </w:r>
    </w:p>
    <w:p w14:paraId="098A0AD5" w14:textId="77777777" w:rsidR="009F3870" w:rsidRPr="00D80FE5" w:rsidRDefault="009F3870" w:rsidP="009F3870">
      <w:pPr>
        <w:spacing w:after="0"/>
        <w:jc w:val="both"/>
        <w:rPr>
          <w:rFonts w:ascii="Times New Roman" w:hAnsi="Times New Roman" w:cs="Times New Roman"/>
          <w:sz w:val="24"/>
          <w:szCs w:val="24"/>
        </w:rPr>
      </w:pPr>
    </w:p>
    <w:p w14:paraId="0FCE50D1"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In order to place predictions into context, SHAP </w:t>
      </w:r>
      <w:proofErr w:type="spellStart"/>
      <w:r w:rsidRPr="00D80FE5">
        <w:rPr>
          <w:rFonts w:ascii="Times New Roman" w:hAnsi="Times New Roman" w:cs="Times New Roman"/>
          <w:sz w:val="24"/>
          <w:szCs w:val="24"/>
        </w:rPr>
        <w:t>beeswarm</w:t>
      </w:r>
      <w:proofErr w:type="spellEnd"/>
      <w:r w:rsidRPr="00D80FE5">
        <w:rPr>
          <w:rFonts w:ascii="Times New Roman" w:hAnsi="Times New Roman" w:cs="Times New Roman"/>
          <w:sz w:val="24"/>
          <w:szCs w:val="24"/>
        </w:rPr>
        <w:t xml:space="preserve"> plots with SMILES annotation were generated for the most significant 25 features (Figure 2.5.4). These showed substructures such as aromatic rings, nitro groups, and dense heteroatom moieties being most frequently associated with predictions of carcinogenicity, in accordance with known </w:t>
      </w:r>
      <w:proofErr w:type="spellStart"/>
      <w:r w:rsidRPr="00D80FE5">
        <w:rPr>
          <w:rFonts w:ascii="Times New Roman" w:hAnsi="Times New Roman" w:cs="Times New Roman"/>
          <w:sz w:val="24"/>
          <w:szCs w:val="24"/>
        </w:rPr>
        <w:t>toxicophores</w:t>
      </w:r>
      <w:proofErr w:type="spellEnd"/>
      <w:r w:rsidRPr="00D80FE5">
        <w:rPr>
          <w:rFonts w:ascii="Times New Roman" w:hAnsi="Times New Roman" w:cs="Times New Roman"/>
          <w:sz w:val="24"/>
          <w:szCs w:val="24"/>
        </w:rPr>
        <w:t>. This illustrates how sparse fingerprints can be translated into chemical features that are understandable.</w:t>
      </w:r>
    </w:p>
    <w:p w14:paraId="78FF27AE" w14:textId="77777777" w:rsidR="009F3870" w:rsidRPr="00D80FE5" w:rsidRDefault="009F3870" w:rsidP="009F3870">
      <w:pPr>
        <w:spacing w:after="0"/>
        <w:jc w:val="both"/>
        <w:rPr>
          <w:rFonts w:ascii="Times New Roman" w:hAnsi="Times New Roman" w:cs="Times New Roman"/>
          <w:sz w:val="24"/>
          <w:szCs w:val="24"/>
        </w:rPr>
      </w:pPr>
    </w:p>
    <w:p w14:paraId="6FA24288"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Generally, this was externally validated with external validation and demonstrated that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was able to maintain its predictability under domain shift upon training on </w:t>
      </w:r>
      <w:r w:rsidRPr="00D80FE5">
        <w:rPr>
          <w:rFonts w:ascii="Times New Roman" w:hAnsi="Times New Roman" w:cs="Times New Roman"/>
          <w:sz w:val="24"/>
          <w:szCs w:val="24"/>
        </w:rPr>
        <w:lastRenderedPageBreak/>
        <w:t>spectrum-derived fingerprints with ~72% accuracy and 62% balanced accuracy. While accuracy was lower than with curated descriptors, this was consistent with literature benchmarks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{"citationID":"PoXrdZqy","properties":{"formattedCitation":"(D\\uc0\\u252{}hrkop et al., 2019; Helma et al., 2004; Walter, 2022)","plainCitation":"(Dührkop et al., 2019; Helma et al., 2004;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C."},{"family":"Rousu","given":"Juho"},{"family":"Böcker","given":"Sebastian"}],"issued":{"date-parts":[["2019",4]]}}},{"id":891,"uris":["http://zotero.org/users/local/PQz9MTWE/items/T3B5UYGD"],"itemData":{"id":891,"type":"article-journal","abstract":"This paper explores the utility of data mining and machine learning algorithms for the induction of mutagenicity structure−activity relationships (SARs) from noncongeneric data sets. We compare (i) a newly developed algorithm (MOLFEA) for the generation of descriptors (molecular fragments) for noncongeneric compounds with traditional SAR approaches (molecular properties) and (ii) different machine learning algorithms for the induction of SARs from these descriptors. In addition we investigate the optimal parameter settings for these programs and give an exemplary interpretation of the derived models. The predictive accuracies of models using MOLFEA derived descriptors is </w:instrText>
      </w:r>
      <w:r>
        <w:rPr>
          <w:rFonts w:ascii="Cambria Math" w:hAnsi="Cambria Math" w:cs="Cambria Math"/>
          <w:sz w:val="24"/>
          <w:szCs w:val="24"/>
        </w:rPr>
        <w:instrText>∼</w:instrText>
      </w:r>
      <w:r>
        <w:rPr>
          <w:rFonts w:ascii="Times New Roman" w:hAnsi="Times New Roman" w:cs="Times New Roman"/>
          <w:sz w:val="24"/>
          <w:szCs w:val="24"/>
        </w:rPr>
        <w:instrText xml:space="preserve">10−15%age points higher than those using molecular properties alone. Using both types of descriptors together does not improve the derived models. From the applied machine learning techniques the rule learner PART and support vector machines gave the best results, although the differences between the learning algorithms are only marginal. We were able to achieve predictive accuracies up to 78% for 10-fold cross-validation. The resulting models are relatively easy to interpret and usable for predictive as well as for explanatory purposes.","container-title":"Journal of Chemical Information and Computer Sciences","DOI":"10.1021/ci034254q","ISSN":"0095-2338","issue":"4","journalAbbreviation":"J. Chem. Inf. Comput. Sci.","note":"publisher: American Chemical Society","page":"1402-1411","source":"ACS Publications","title":"Data Mining and Machine Learning Techniques for the Identification of Mutagenicity Inducing Substructures and Structure Activity Relationships of Noncongeneric Compounds","volume":"44","author":[{"family":"Helma","given":"Christoph"},{"family":"Cramer","given":"Tobias"},{"family":"Kramer","given":"Stefan"},{"family":"De Raedt","given":"Luc"}],"issued":{"date-parts":[["2004",7,1]]}}},{"id":846,"uris":["http://zotero.org/users/local/PQz9MTWE/items/5EUXRB4G"],"itemData":{"id":846,"type":"thesis","abstract":"Humans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Helma et al., 2004;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 These findings provide evidence for the prospects of predictive toxicology to be applied to analytically derived but structurally uncertain chemicals and to complement high-throughput risk prioritisation separate from animal studies.</w:t>
      </w:r>
    </w:p>
    <w:p w14:paraId="3EDF5338" w14:textId="77777777" w:rsidR="009F3870" w:rsidRDefault="009F3870" w:rsidP="009F3870">
      <w:pPr>
        <w:spacing w:after="0"/>
        <w:rPr>
          <w:rFonts w:ascii="Times New Roman" w:hAnsi="Times New Roman" w:cs="Times New Roman"/>
          <w:b/>
          <w:bCs/>
          <w:sz w:val="28"/>
          <w:szCs w:val="28"/>
        </w:rPr>
      </w:pPr>
    </w:p>
    <w:p w14:paraId="18884FE8" w14:textId="77777777" w:rsidR="009F3870" w:rsidRPr="006D04A7" w:rsidRDefault="009F3870" w:rsidP="009F3870">
      <w:pPr>
        <w:spacing w:after="0"/>
        <w:rPr>
          <w:rFonts w:ascii="Times New Roman" w:hAnsi="Times New Roman" w:cs="Times New Roman"/>
          <w:b/>
          <w:bCs/>
          <w:sz w:val="28"/>
          <w:szCs w:val="28"/>
        </w:rPr>
      </w:pPr>
      <w:r w:rsidRPr="006D04A7">
        <w:rPr>
          <w:rFonts w:ascii="Times New Roman" w:hAnsi="Times New Roman" w:cs="Times New Roman"/>
          <w:b/>
          <w:bCs/>
          <w:sz w:val="28"/>
          <w:szCs w:val="28"/>
        </w:rPr>
        <w:t>3. Results: Model Deployment to Actual Laboratory SOA Samples</w:t>
      </w:r>
    </w:p>
    <w:p w14:paraId="406E327A" w14:textId="77777777" w:rsidR="009F3870" w:rsidRPr="006D04A7" w:rsidRDefault="009F3870" w:rsidP="009F3870">
      <w:pPr>
        <w:spacing w:after="0"/>
        <w:rPr>
          <w:rFonts w:ascii="Times New Roman" w:hAnsi="Times New Roman" w:cs="Times New Roman"/>
          <w:b/>
          <w:bCs/>
          <w:sz w:val="28"/>
          <w:szCs w:val="28"/>
        </w:rPr>
      </w:pPr>
    </w:p>
    <w:p w14:paraId="5E9338D4"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In this section of the study, it was determined if and how the machine learning classifier might be deployed from controlled samples in the lab to actual atmospheric chemical mixtures, in this case, secondary organic aerosols (SOA). Most SOA studies proceed only as far as chemical characterization, but in this case the intent was to see if a human-health toxicology model could have some knowledge of atmospheric oxidation products' carcinogenicity. This is one of the first attempts to bridge atmospheric chemistry with predictive toxicology.</w:t>
      </w:r>
    </w:p>
    <w:p w14:paraId="50F7F3EF" w14:textId="77777777" w:rsidR="009F3870" w:rsidRPr="006D04A7" w:rsidRDefault="009F3870" w:rsidP="009F3870">
      <w:pPr>
        <w:spacing w:after="0"/>
        <w:jc w:val="both"/>
        <w:rPr>
          <w:rFonts w:ascii="Times New Roman" w:hAnsi="Times New Roman" w:cs="Times New Roman"/>
          <w:sz w:val="24"/>
          <w:szCs w:val="24"/>
        </w:rPr>
      </w:pPr>
    </w:p>
    <w:p w14:paraId="5355E646"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3.1 Sample Generation and Analysis</w:t>
      </w:r>
    </w:p>
    <w:p w14:paraId="216FEC17" w14:textId="77777777" w:rsidR="009F3870" w:rsidRPr="006D04A7" w:rsidRDefault="009F3870" w:rsidP="009F3870">
      <w:pPr>
        <w:spacing w:after="0"/>
        <w:jc w:val="both"/>
        <w:rPr>
          <w:rFonts w:ascii="Times New Roman" w:hAnsi="Times New Roman" w:cs="Times New Roman"/>
          <w:sz w:val="24"/>
          <w:szCs w:val="24"/>
        </w:rPr>
      </w:pPr>
    </w:p>
    <w:p w14:paraId="5DC0EDF8"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Limonene (C₁₀H₁₆) was chosen as the precursor, an organic volatile compound emitted by plants and also present in everyday consumer items like air fresheners and spray cleaners. Its chemical composition has two double bonds (Figure 3.1), which are accountable for highly reacting with ozone. These positions are accountable for the elevated SOA yields when limonene gets oxidized in the atmosphere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{"citationID":"yTnOeHsd","properties":{"formattedCitation":"(Bateman et al., 2009; Hallquist et al., 2009)","plainCitation":"(Bateman et al., 2009; Hallquist et al., 2009)","noteIndex":0},"citationItems":[{"id":833,"uris":["http://zotero.org/users/local/PQz9MTWE/items/BNTMDWV9"],"itemData":{"id":833,"type":"article-journal","container-title":"Physical Chemistry Chemical Physics","DOI":"10.1039/b905288g","ISSN":"1463-9076, 1463-9084","issue":"36","journalAbbreviation":"Phys. Chem. Chem. Phys.","language":"en","page":"7931","source":"DOI.org (Crossref)","title":"Time-resolved molecular characterization of limonene/ozone aerosol using high-resolution electrospray ionization mass spectrometry","volume":"11","author":[{"family":"Bateman","given":"Adam P."},{"family":"Nizkorodov","given":"Sergey A."},{"family":"Laskin","given":"Julia"},{"family":"Laskin","given":"Alexander"}],"issued":{"date-parts":[["2009"]]}}},{"id":737,"uris":["http://zotero.org/users/local/PQz9MTWE/items/WIN9UDB7"],"itemData":{"id":737,"type":"article-journal","abstract":"Secondary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(Bateman et al., 2009; Hallquist et al., 2009)</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D762519" w14:textId="77777777" w:rsidR="009F3870" w:rsidRPr="006D04A7" w:rsidRDefault="009F3870" w:rsidP="009F3870">
      <w:pPr>
        <w:spacing w:after="0"/>
        <w:jc w:val="both"/>
        <w:rPr>
          <w:rFonts w:ascii="Times New Roman" w:hAnsi="Times New Roman" w:cs="Times New Roman"/>
          <w:sz w:val="24"/>
          <w:szCs w:val="24"/>
        </w:rPr>
      </w:pPr>
    </w:p>
    <w:p w14:paraId="487A2066" w14:textId="15E92D16"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experiments were conducted in the NCAS/University of York atmospheric chamber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{"citationID":"rb19r3rZ","properties":{"formattedCitation":"(Pereira et al., 2019)","plainCitation":"(Pereira et al., 2019)","noteIndex":0},"citationItems":[{"id":899,"uris":["http://zotero.org/users/local/PQz9MTWE/items/SN73LR6I"],"itemData":{"id":899,"type":"article-journal","abstract":"Abstract. Gas-particle equilibrium partitioning is a fundamental concept used to\ndescribe the growth and loss of secondary organic aerosol (SOA). However,\nrecent literature has suggested that gas-particle partitioning may be\nkinetically limited, preventing volatilization from the aerosol phase as a\nresult of the physical state of the aerosol (e.g. glassy, viscous). Experimental\nmeasurements of diffusion constants within viscous aerosol are limited and\ndo not represent the complex chemical composition observed in SOA (i.e.\nmulticomponent mixtures). Motivated by the need to address fundamental\nquestions regarding the effect of the physical state and chemical\ncomposition of a particle on gas-particle partitioning, we present the\ndesign and operation of a newly built 0.3 m3 continuous-flow reactor\n(CFR), which can be used as a tool to gain considerable insights into the\ncomposition and physical state of SOA. The CFR was used to generate SOA from\nthe photo-oxidation of α-pinene, limonene, β-caryophyllene\nand toluene under different experimental conditions (i.e. relative humidity, VOC\nand VOC∕NOx ratios). Up to 102 mg of SOA mass was collected per\nexperiment, allowing the use of highly accurate compositional- and single-particle analysis techniques, which are not usually accessible due to the\nlarge quantity of organic aerosol mass required for analysis. A suite of\noffline analytical techniques was used to determine the chemical composition\nand physical state of the generated SOA, including attenuated total\nreflectance infrared spectroscopy; carbon,\nhydrogen, nitrogen, and sulfur (CHNS) elemental analysis; 1H and\n1H-13C nuclear magnetic resonance spectroscopy (NMR);\nultra-performance liquid chromatography ultra-high-resolution mass\nspectrometry (UHRMS); high-performance liquid chromatography ion-trap mass\nspectrometry (HPLC-ITMS); and an electrodynamic balance (EDB). The\noxygen-to-carbon (O∕C) and hydrogen-to-carbon (H∕C) ratios of generated SOA\nsamples (determined using a CHNS elemental analyser) displayed good\nagreement with literature values and were consistent with the characteristic\nVan Krevelen diagram trajectory, with an observed slope of −0.41. The\nelemental composition of two SOA samples formed in separate replicate\nexperiments displayed excellent reproducibility, with the O∕C and H∕C ratios\nof the SOA samples observed to be within error of the analytical\ninstrumentation (instrument accuracy ±0.15 % to a reference\nstandard). The ability to use a highly accurate CHNS elemental analyser to\ndetermine the elemental composition of the SOA samples allowed us to\nevaluate the accuracy of reported SOA elemental compositions using UHRMS (a\ncommonly used technique). In all of the experiments investigated, the SOA\nO∕C ratios obtained for each SOA sample using UHRMS were lower than the O∕C\nratios obtained from the CHNS analyser (the more accurate and non-selective\ntechnique). The average difference in the ΔO∕C ratios ranged from 19 %\nto 45 % depending on the SOA precursor and formation conditions. α-pinene SOA standards were generated from the collected SOA mass using\nsemi-preparative HPLC-ITMS coupled to an automated fraction collector,\nfollowed by 1H NMR spectroscopy. Up to 35.8±1.6 %\n(propagated error of the uncertainty in the slope of the calibrations\ngraphs) of α-pinene SOA was quantified using this method; a\nconsiderable improvement from most previous studies. Single aerosol droplets\nwere generated from the collected SOA samples and trapped within an EDB at\ndifferent temperatures and relative humidities to investigate the dynamic\nchanges in their physiochemical properties. The volatilization of organic\ncomponents from toluene and β-caryophyllene SOA particles at 0 %\nrelative humidity was found to be kinetically limited, owing to particle\nviscosity. The unconventional use of a newly built CFR, combined with\ncomprehensive offline chemical characterization and single-particle\nmeasurements, offers a unique approach to further our understanding of the\nrelationship between SOA formation conditions, chemical composition and\nphysiochemical properties.","container-title":"Atmospheric Measurement Techniques","DOI":"10.5194/amt-12-4519-2019","ISSN":"1867-8548","issue":"8","journalAbbreviation":"Atmos. Meas. Tech.","language":"en","license":"https://creativecommons.org/licenses/by/4.0/","page":"4519-4541","source":"DOI.org (Crossref)","title":"A new aerosol flow reactor to study secondary organic aerosol","volume":"12","author":[{"family":"Pereira","given":"Kelly L."},{"family":"Rovelli","given":"Grazia"},{"family":"Song","given":"Young C."},{"family":"Mayhew","given":"Alfred W."},{"family":"Reid","given":"Jonathan P."},{"family":"Hamilton","given":"Jacqueline F."}],"issued":{"date-parts":[["2019",8,23]]}}}],"schema":"https://github.com/citation-style-language/schema/raw/master/csl-citation.json"}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(Pereira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xml:space="preserve">. Limonene was mixed with ozone under controlled conditions to mimic real atmospheric oxidation. Teflon-filtered particles were solvent-extracted and </w:t>
      </w:r>
      <w:r w:rsidR="004D64B9" w:rsidRPr="006D04A7">
        <w:rPr>
          <w:rFonts w:ascii="Times New Roman" w:hAnsi="Times New Roman" w:cs="Times New Roman"/>
          <w:sz w:val="24"/>
          <w:szCs w:val="24"/>
        </w:rPr>
        <w:t>analysed</w:t>
      </w:r>
      <w:r w:rsidRPr="006D04A7">
        <w:rPr>
          <w:rFonts w:ascii="Times New Roman" w:hAnsi="Times New Roman" w:cs="Times New Roman"/>
          <w:sz w:val="24"/>
          <w:szCs w:val="24"/>
        </w:rPr>
        <w:t xml:space="preserve"> by LC–MS/MS. The process in the chamber ensured that the measured oxidation products were actual atmospheric processes and not theoretical chemistry only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{"citationID":"cwtN8ZGV","properties":{"formattedCitation":"(Witkowski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1039CD9D" w14:textId="77777777" w:rsidR="009F3870" w:rsidRDefault="009F3870" w:rsidP="009F3870">
      <w:pPr>
        <w:spacing w:after="0"/>
        <w:jc w:val="both"/>
        <w:rPr>
          <w:rFonts w:ascii="Times New Roman" w:hAnsi="Times New Roman" w:cs="Times New Roman"/>
          <w:sz w:val="24"/>
          <w:szCs w:val="24"/>
        </w:rPr>
      </w:pPr>
    </w:p>
    <w:p w14:paraId="1491AA5F"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noProof/>
        </w:rPr>
        <w:drawing>
          <wp:inline distT="0" distB="0" distL="0" distR="0" wp14:anchorId="137BCC0D" wp14:editId="0F4FCA25">
            <wp:extent cx="4762500" cy="1000125"/>
            <wp:effectExtent l="0" t="0" r="0" b="9525"/>
            <wp:docPr id="155956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000125"/>
                    </a:xfrm>
                    <a:prstGeom prst="rect">
                      <a:avLst/>
                    </a:prstGeom>
                    <a:noFill/>
                  </pic:spPr>
                </pic:pic>
              </a:graphicData>
            </a:graphic>
          </wp:inline>
        </w:drawing>
      </w:r>
    </w:p>
    <w:p w14:paraId="3341CA0A"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b/>
          <w:bCs/>
        </w:rPr>
        <w:t>Figure 3.1.</w:t>
      </w:r>
      <w:r w:rsidRPr="006D04A7">
        <w:rPr>
          <w:rFonts w:ascii="Times New Roman" w:hAnsi="Times New Roman" w:cs="Times New Roman"/>
        </w:rPr>
        <w:t xml:space="preserve"> Limonene structure (C₁₀H₁₆) with its two reactive double bonds being responsible for its rapid oxidation and strong SOA formation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{"citationID":"RUGuEUJE","properties":{"formattedCitation":"(Morehouse et al., 2017)","plainCitation":"(Morehouse et al., 2017)","noteIndex":0},"citationItems":[{"id":897,"uris":["http://zotero.org/users/local/PQz9MTWE/items/K5WXFKIQ"],"itemData":{"id":897,"type":"article-journal","abstract":"Terpenes make up the largest and most diverse class of natural compounds and have important commercial and medical applications. Limonene is a cyclic monoterpene (C10) present in nature as two enantiomers, (+) and (−), which are produced by different enzymes. The mechanism of production of the (−)-enantiomer has been studied in great detail, but to understand how enantiomeric selectivity is achieved in this class of enzymes, it is important to develop a thorough biochemical description of enzymes that generate (+)-limonene, as well. Here we report the first cloning and biochemical characterization of a (+)-limonene synthase from navel orange (Citrus sinensis). The enzyme obeys classical Michaelis–Menten kinetics and produces exclusively the (+)-enantiomer. We have determined the crystal structure of the apoprotein in an “open” conformation at 2.3 Å resolution. Comparison with the structure of (−)-limonene synthase (Mentha spicata), which is representative of a fully closed conformation (Protein Data Bank entry 2ONG), reveals that the short H-α1 helix moves nearly 5 Å inward upon substrate binding, and a conserved Tyr flips to point its hydroxyl group into the active site.","container-title":"Biochemistry","DOI":"10.1021/acs.biochem.7b00143","ISSN":"0006-2960","issue":"12","journalAbbreviation":"Biochemistry","note":"publisher: American Chemical Society","page":"1706-1715","source":"ACS Publications","title":"Functional and Structural Characterization of a (+)-Limonene Synthase from Citrus sinensis","volume":"56","author":[{"family":"Morehouse","given":"Benjamin R."},{"family":"Kumar","given":"Ramasamy P."},{"family":"Matos","given":"Jason O."},{"family":"Olsen","given":"Sarah Naomi"},{"family":"Entova","given":"Sonya"},{"family":"Oprian","given":"Daniel D."}],"issued":{"date-parts":[["2017",3,28]]}}}],"schema":"https://github.com/citation-style-language/schema/raw/master/csl-citation.json"} </w:instrText>
      </w:r>
      <w:r>
        <w:rPr>
          <w:rFonts w:ascii="Times New Roman" w:hAnsi="Times New Roman" w:cs="Times New Roman"/>
        </w:rPr>
        <w:fldChar w:fldCharType="separate"/>
      </w:r>
      <w:r w:rsidRPr="00A109B9">
        <w:rPr>
          <w:rFonts w:ascii="Times New Roman" w:hAnsi="Times New Roman" w:cs="Times New Roman"/>
        </w:rPr>
        <w:t>(Morehouse et al., 2017)</w:t>
      </w:r>
      <w:r>
        <w:rPr>
          <w:rFonts w:ascii="Times New Roman" w:hAnsi="Times New Roman" w:cs="Times New Roman"/>
        </w:rPr>
        <w:fldChar w:fldCharType="end"/>
      </w:r>
      <w:r w:rsidRPr="006D04A7">
        <w:rPr>
          <w:rFonts w:ascii="Times New Roman" w:hAnsi="Times New Roman" w:cs="Times New Roman"/>
        </w:rPr>
        <w:t>.</w:t>
      </w:r>
    </w:p>
    <w:p w14:paraId="7DF0BF11" w14:textId="77777777" w:rsidR="009F3870" w:rsidRPr="006D04A7" w:rsidRDefault="009F3870" w:rsidP="009F3870">
      <w:pPr>
        <w:spacing w:after="0"/>
        <w:jc w:val="both"/>
        <w:rPr>
          <w:rFonts w:ascii="Times New Roman" w:hAnsi="Times New Roman" w:cs="Times New Roman"/>
          <w:sz w:val="24"/>
          <w:szCs w:val="24"/>
        </w:rPr>
      </w:pPr>
    </w:p>
    <w:p w14:paraId="17DEDC6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3.2 Formula Attribution and Fingerprint Inference</w:t>
      </w:r>
    </w:p>
    <w:p w14:paraId="5BBAEEC7" w14:textId="77777777" w:rsidR="009F3870" w:rsidRPr="006D04A7" w:rsidRDefault="009F3870" w:rsidP="009F3870">
      <w:pPr>
        <w:spacing w:after="0"/>
        <w:jc w:val="both"/>
        <w:rPr>
          <w:rFonts w:ascii="Times New Roman" w:hAnsi="Times New Roman" w:cs="Times New Roman"/>
          <w:sz w:val="24"/>
          <w:szCs w:val="24"/>
        </w:rPr>
      </w:pPr>
    </w:p>
    <w:p w14:paraId="2D673670"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LC–MS/MS spectra were processed using SIRIUS v5.6, which determines molecular formulas from exact mass and isotope pattern, and substructural fingerprints were predicted through </w:t>
      </w:r>
      <w:proofErr w:type="spellStart"/>
      <w:r w:rsidRPr="006D04A7">
        <w:rPr>
          <w:rFonts w:ascii="Times New Roman" w:hAnsi="Times New Roman" w:cs="Times New Roman"/>
          <w:sz w:val="24"/>
          <w:szCs w:val="24"/>
        </w:rPr>
        <w:t>CSI:FingerID</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{"citationID":"vOqIG6ft","properties":{"formattedCitation":"(B\\uc0\\u246{}cker and D\\uc0\\u252{}hrkop, 2016; D\\uc0\\u252{}hrkop et al., 2019)","plainCitation":"(Böcker and Dührkop, 2016; Dührkop et al., 2019)","noteIndex":0},"citationItems":[{"id":719,"uris":["http://zotero.org/users/local/PQz9MTWE/items/GMRA2VRS"],"itemData":{"id":719,"type":"article-journal","abstract":"Untargeted metabolomics commonly uses liquid chromatography mass spectrometry to measure abundances of metabolites; subsequent tandem mass spectrometry is used to derive information about individual compounds. One of the bottlenecks in this experimental setup is the interpretation of fragmentation spectra to accurately and efficiently identify compounds. Fragmentation trees have become a powerful tool for the interpretation of tandem mass spectrometry data of small molecules. These trees are determined from the data using combinatorial optimization, and aim at explaining the experimental data via fragmentation cascades. Fragmentation tree computation does not require spectral or structural databases. To obtain biochemically meaningful trees, one needs an elaborate optimization function (scoring).","container-title":"Journal of Cheminformatics","DOI":"10.1186/s13321-016-0116-8","ISSN":"1758-2946","issue":"1","journalAbbreviation":"J Cheminform","language":"en","page":"5","source":"Springer Link","title":"Fragmentation trees reloaded","volume":"8","author":[{"family":"Böcker","given":"Sebastian"},{"family":"Dührkop","given":"Kai"}],"issued":{"date-parts":[["2016",2,1]]}}},{"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 xml:space="preserve">(Böcker and </w:t>
      </w:r>
      <w:proofErr w:type="spellStart"/>
      <w:r w:rsidRPr="00A109B9">
        <w:rPr>
          <w:rFonts w:ascii="Times New Roman" w:hAnsi="Times New Roman" w:cs="Times New Roman"/>
          <w:sz w:val="24"/>
        </w:rPr>
        <w:t>Dührkop</w:t>
      </w:r>
      <w:proofErr w:type="spellEnd"/>
      <w:r w:rsidRPr="00A109B9">
        <w:rPr>
          <w:rFonts w:ascii="Times New Roman" w:hAnsi="Times New Roman" w:cs="Times New Roman"/>
          <w:sz w:val="24"/>
        </w:rPr>
        <w:t>, 2016; Dührkop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506 oxidation products were noted out of which 500 were annotated at high confidence level with formulas.</w:t>
      </w:r>
    </w:p>
    <w:p w14:paraId="6BA040F9" w14:textId="77777777" w:rsidR="009F3870" w:rsidRPr="006D04A7" w:rsidRDefault="009F3870" w:rsidP="009F3870">
      <w:pPr>
        <w:spacing w:after="0"/>
        <w:jc w:val="both"/>
        <w:rPr>
          <w:rFonts w:ascii="Times New Roman" w:hAnsi="Times New Roman" w:cs="Times New Roman"/>
          <w:sz w:val="24"/>
          <w:szCs w:val="24"/>
        </w:rPr>
      </w:pPr>
    </w:p>
    <w:p w14:paraId="7DE98BEF"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compounds had monomers (single-molecule units, typically C₉–C₁₀), dimers (two joined units, for instance, C₁₈–C₂₀), and higher size oligomers (lots of joined units). Because of isomerism (different arrangements of atoms that share the same formula), some formulas such as C₁₀H₁₆O₄ appeared multiple times at different retention times, which were structural isomers.</w:t>
      </w:r>
    </w:p>
    <w:p w14:paraId="03AA5D38" w14:textId="77777777" w:rsidR="009F3870" w:rsidRPr="006D04A7" w:rsidRDefault="009F3870" w:rsidP="009F3870">
      <w:pPr>
        <w:spacing w:after="0"/>
        <w:jc w:val="both"/>
        <w:rPr>
          <w:rFonts w:ascii="Times New Roman" w:hAnsi="Times New Roman" w:cs="Times New Roman"/>
          <w:sz w:val="24"/>
          <w:szCs w:val="24"/>
        </w:rPr>
      </w:pPr>
    </w:p>
    <w:p w14:paraId="39C6D787"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This was performed to transform raw spectral data to machine learning model-needed fingerprint features.</w:t>
      </w:r>
    </w:p>
    <w:p w14:paraId="1C473A00" w14:textId="77777777" w:rsidR="009F3870" w:rsidRPr="006D04A7" w:rsidRDefault="009F3870" w:rsidP="009F3870">
      <w:pPr>
        <w:spacing w:after="0"/>
        <w:jc w:val="both"/>
        <w:rPr>
          <w:rFonts w:ascii="Times New Roman" w:hAnsi="Times New Roman" w:cs="Times New Roman"/>
          <w:sz w:val="24"/>
          <w:szCs w:val="24"/>
        </w:rPr>
      </w:pPr>
    </w:p>
    <w:p w14:paraId="7388D150"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3.3 Model Predictions</w:t>
      </w:r>
    </w:p>
    <w:p w14:paraId="62D2D68F" w14:textId="77777777" w:rsidR="009F3870" w:rsidRPr="006D04A7" w:rsidRDefault="009F3870" w:rsidP="009F3870">
      <w:pPr>
        <w:spacing w:after="0"/>
        <w:jc w:val="both"/>
        <w:rPr>
          <w:rFonts w:ascii="Times New Roman" w:hAnsi="Times New Roman" w:cs="Times New Roman"/>
          <w:sz w:val="24"/>
          <w:szCs w:val="24"/>
        </w:rPr>
      </w:pPr>
    </w:p>
    <w:p w14:paraId="4D7E0663" w14:textId="6DD6661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 </w:t>
      </w:r>
      <w:proofErr w:type="spellStart"/>
      <w:r w:rsidRPr="006D04A7">
        <w:rPr>
          <w:rFonts w:ascii="Times New Roman" w:hAnsi="Times New Roman" w:cs="Times New Roman"/>
          <w:sz w:val="24"/>
          <w:szCs w:val="24"/>
        </w:rPr>
        <w:t>XGBoost</w:t>
      </w:r>
      <w:proofErr w:type="spellEnd"/>
      <w:r w:rsidRPr="006D04A7">
        <w:rPr>
          <w:rFonts w:ascii="Times New Roman" w:hAnsi="Times New Roman" w:cs="Times New Roman"/>
          <w:sz w:val="24"/>
          <w:szCs w:val="24"/>
        </w:rPr>
        <w:t xml:space="preserve"> classifier was then trained using the 500 </w:t>
      </w:r>
      <w:r w:rsidR="00E2495A" w:rsidRPr="006D04A7">
        <w:rPr>
          <w:rFonts w:ascii="Times New Roman" w:hAnsi="Times New Roman" w:cs="Times New Roman"/>
          <w:sz w:val="24"/>
          <w:szCs w:val="24"/>
        </w:rPr>
        <w:t>labelled</w:t>
      </w:r>
      <w:r w:rsidRPr="006D04A7">
        <w:rPr>
          <w:rFonts w:ascii="Times New Roman" w:hAnsi="Times New Roman" w:cs="Times New Roman"/>
          <w:sz w:val="24"/>
          <w:szCs w:val="24"/>
        </w:rPr>
        <w:t xml:space="preserve"> oxidation products. The probability of each compound to be Active in activating the p53 cancer pathway was predicted and converted into Active or Inactive calls utilizing the ROC-optimal threshold (0.4805). The number of compounds predicted Active and Inactive respectively from the 500 compounds were 107 (21.4%) Active and 393 (78.6%) Inactive. That is, roughly one in five compounds derived from limonene exhibited carcinogenic activity, a proportion comparable to that discovered in high-quality toxicology collections like </w:t>
      </w:r>
      <w:proofErr w:type="spellStart"/>
      <w:r w:rsidRPr="006D04A7">
        <w:rPr>
          <w:rFonts w:ascii="Times New Roman" w:hAnsi="Times New Roman" w:cs="Times New Roman"/>
          <w:sz w:val="24"/>
          <w:szCs w:val="24"/>
        </w:rPr>
        <w:t>ToxCast</w:t>
      </w:r>
      <w:proofErr w:type="spellEnd"/>
      <w:r w:rsidRPr="006D04A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{"citationID":"27S7McOx","properties":{"formattedCitation":"(Judson et al., 2010)","plainCitation":"(Judson et al., 2010)","noteIndex":0},"citationItems":[{"id":219,"uris":["http://zotero.org/users/local/PQz9MTWE/items/HSFX6A66"],"itemData":{"id":219,"type":"article-journal","abstract":"BackgroundChemical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(Judson et al., 2010)</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76C7E704" w14:textId="77777777" w:rsidR="009F3870" w:rsidRPr="006D04A7" w:rsidRDefault="009F3870" w:rsidP="009F3870">
      <w:pPr>
        <w:spacing w:after="0"/>
        <w:jc w:val="both"/>
        <w:rPr>
          <w:rFonts w:ascii="Times New Roman" w:hAnsi="Times New Roman" w:cs="Times New Roman"/>
          <w:sz w:val="24"/>
          <w:szCs w:val="24"/>
        </w:rPr>
      </w:pPr>
    </w:p>
    <w:p w14:paraId="6DF68999" w14:textId="078B1C23"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There were evident structural patterns. Fewer than 10% of C₁₀ or smaller monomers were predicted Active, while about a quarter of the dimers and over 30% of the oligomers were designated as Active. This is evidence that larger oxygen-</w:t>
      </w:r>
      <w:r w:rsidR="00E2495A" w:rsidRPr="006D04A7">
        <w:rPr>
          <w:rFonts w:ascii="Times New Roman" w:hAnsi="Times New Roman" w:cs="Times New Roman"/>
          <w:sz w:val="24"/>
          <w:szCs w:val="24"/>
        </w:rPr>
        <w:t>contained</w:t>
      </w:r>
      <w:r w:rsidRPr="006D04A7">
        <w:rPr>
          <w:rFonts w:ascii="Times New Roman" w:hAnsi="Times New Roman" w:cs="Times New Roman"/>
          <w:sz w:val="24"/>
          <w:szCs w:val="24"/>
        </w:rPr>
        <w:t xml:space="preserve"> molecules have a greater predicted biological reactivity, which corresponds with toxicological theory that multifunctional, oxidised organics will bind to DNA and proteins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{"citationID":"q93ETo4a","properties":{"formattedCitation":"(Schw\\uc0\\u246{}bel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(Schwöbel et al., 2011)</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2609AA3F" w14:textId="77777777" w:rsidR="009F3870" w:rsidRPr="006D04A7" w:rsidRDefault="009F3870" w:rsidP="009F3870">
      <w:pPr>
        <w:spacing w:after="0"/>
        <w:jc w:val="both"/>
        <w:rPr>
          <w:rFonts w:ascii="Times New Roman" w:hAnsi="Times New Roman" w:cs="Times New Roman"/>
          <w:sz w:val="24"/>
          <w:szCs w:val="24"/>
        </w:rPr>
      </w:pPr>
    </w:p>
    <w:p w14:paraId="5BD4E982"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3.4 Literature Validation</w:t>
      </w:r>
    </w:p>
    <w:p w14:paraId="120F0A07" w14:textId="77777777" w:rsidR="009F3870" w:rsidRPr="006D04A7" w:rsidRDefault="009F3870" w:rsidP="009F3870">
      <w:pPr>
        <w:spacing w:after="0"/>
        <w:jc w:val="both"/>
        <w:rPr>
          <w:rFonts w:ascii="Times New Roman" w:hAnsi="Times New Roman" w:cs="Times New Roman"/>
          <w:sz w:val="24"/>
          <w:szCs w:val="24"/>
        </w:rPr>
      </w:pPr>
    </w:p>
    <w:p w14:paraId="6600744D"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For consistency, the following annotated formulas were validated against earlier chamber studies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{"citationID":"L0UK0IEi","properties":{"formattedCitation":"(Witkowski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 Frequently occurring small molecules such as C₁₀H₁₆O₄ and C₉H₁₄O₄ were correctly predicted Inactive, while less frequent, oxygen-rich compounds such as C₁₈H₂₈O₆ and C₁₉H₂₈O₇ were determined to be predicted Active. Figure 3.2 illustrates this dichotomy, with on the left the frequency with which reported formulas are seen in the literature and on the right the predicted carcinogenicity outcome. The lesson is that frequency of detection does not equate to toxicological importance: occasional oligomers may pose higher predicted carcinogenicity risk than frequent small molecules.</w:t>
      </w:r>
    </w:p>
    <w:p w14:paraId="3A7A8BEF" w14:textId="77777777" w:rsidR="009F3870" w:rsidRDefault="009F3870" w:rsidP="009F3870">
      <w:pPr>
        <w:spacing w:after="0"/>
        <w:jc w:val="both"/>
        <w:rPr>
          <w:rFonts w:ascii="Times New Roman" w:hAnsi="Times New Roman" w:cs="Times New Roman"/>
          <w:sz w:val="24"/>
          <w:szCs w:val="24"/>
        </w:rPr>
      </w:pPr>
    </w:p>
    <w:p w14:paraId="0A572120"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noProof/>
          <w:sz w:val="18"/>
          <w:szCs w:val="18"/>
        </w:rPr>
        <w:lastRenderedPageBreak/>
        <w:drawing>
          <wp:inline distT="0" distB="0" distL="0" distR="0" wp14:anchorId="030AA27F" wp14:editId="4A088654">
            <wp:extent cx="5731510" cy="3183890"/>
            <wp:effectExtent l="0" t="0" r="2540" b="0"/>
            <wp:docPr id="601352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B9E7F2C"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b/>
          <w:bCs/>
          <w:sz w:val="20"/>
          <w:szCs w:val="20"/>
        </w:rPr>
        <w:t>Figure 3.2.</w:t>
      </w:r>
      <w:r w:rsidRPr="004D5C77">
        <w:rPr>
          <w:rFonts w:ascii="Times New Roman" w:hAnsi="Times New Roman" w:cs="Times New Roman"/>
          <w:sz w:val="20"/>
          <w:szCs w:val="20"/>
        </w:rPr>
        <w:t xml:space="preserve"> Detection frequency of literature-reported limonene SOA formulas in SIRIUS-processed LC–MS/MS data alongside their predicted carcinogenicity (Active or Inactive) based on SIRIUS-derived molecular fingerprints using the trained </w:t>
      </w:r>
      <w:proofErr w:type="spellStart"/>
      <w:r w:rsidRPr="004D5C77">
        <w:rPr>
          <w:rFonts w:ascii="Times New Roman" w:hAnsi="Times New Roman" w:cs="Times New Roman"/>
          <w:sz w:val="20"/>
          <w:szCs w:val="20"/>
        </w:rPr>
        <w:t>XGBoost</w:t>
      </w:r>
      <w:proofErr w:type="spellEnd"/>
      <w:r w:rsidRPr="004D5C77">
        <w:rPr>
          <w:rFonts w:ascii="Times New Roman" w:hAnsi="Times New Roman" w:cs="Times New Roman"/>
          <w:sz w:val="20"/>
          <w:szCs w:val="20"/>
        </w:rPr>
        <w:t xml:space="preserve"> classifier.</w:t>
      </w:r>
    </w:p>
    <w:p w14:paraId="1A819DD1" w14:textId="77777777" w:rsidR="009F3870" w:rsidRPr="006D04A7" w:rsidRDefault="009F3870" w:rsidP="009F3870">
      <w:pPr>
        <w:spacing w:after="0"/>
        <w:jc w:val="both"/>
        <w:rPr>
          <w:rFonts w:ascii="Times New Roman" w:hAnsi="Times New Roman" w:cs="Times New Roman"/>
          <w:sz w:val="24"/>
          <w:szCs w:val="24"/>
        </w:rPr>
      </w:pPr>
    </w:p>
    <w:p w14:paraId="799024C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3.5 Significance and Limitations</w:t>
      </w:r>
    </w:p>
    <w:p w14:paraId="49840829" w14:textId="77777777" w:rsidR="004D5C77" w:rsidRDefault="004D5C77" w:rsidP="009F3870">
      <w:pPr>
        <w:spacing w:after="0"/>
        <w:jc w:val="both"/>
        <w:rPr>
          <w:rFonts w:ascii="Times New Roman" w:hAnsi="Times New Roman" w:cs="Times New Roman"/>
          <w:sz w:val="24"/>
          <w:szCs w:val="24"/>
        </w:rPr>
      </w:pPr>
    </w:p>
    <w:p w14:paraId="30A89421" w14:textId="1A30499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Unlike Section 2.5, which focused on external validation with curated spectral libraries, this section demonstrates deployment on real, </w:t>
      </w:r>
      <w:proofErr w:type="spellStart"/>
      <w:r w:rsidRPr="006D04A7">
        <w:rPr>
          <w:rFonts w:ascii="Times New Roman" w:hAnsi="Times New Roman" w:cs="Times New Roman"/>
          <w:sz w:val="24"/>
          <w:szCs w:val="24"/>
        </w:rPr>
        <w:t>uncurated</w:t>
      </w:r>
      <w:proofErr w:type="spellEnd"/>
      <w:r w:rsidRPr="006D04A7">
        <w:rPr>
          <w:rFonts w:ascii="Times New Roman" w:hAnsi="Times New Roman" w:cs="Times New Roman"/>
          <w:sz w:val="24"/>
          <w:szCs w:val="24"/>
        </w:rPr>
        <w:t xml:space="preserve"> mixtures where uncertainty and domain shift are much greater. While absolute validation is not possible without bioassays, the model successfully prioritised oxygenated oligomers as high-risk candidates, narrowing down hundreds of detected products into a manageable subset for experimental follow-up</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{"citationID":"cW3NhvMk","properties":{"formattedCitation":"(Lazic and Williams, 2021; Sobus et al., 2018)","plainCitation":"(Lazic and Williams, 2021; Sobus et al., 2018)","noteIndex":0},"citationItems":[{"id":834,"uris":["http://zotero.org/users/local/PQz9MTWE/items/DGYNSI3A"],"itemData":{"id":834,"type":"article-journal","abstract":"Knowing the uncertainty in a prediction is critical when making expensive investment decisions and when patient safety is paramount, but machine learning (ML) models in drug discovery typically provide only a single best estimate and ignore all sources of uncertainty. Predictions from these models may therefore be over-confident, which can put patients at risk and waste resources when compounds that are destined to fail are further developed. Probabilistic predictive models (PPMs) can incorporate uncertainty in both the data and model, and return a distribution of predicted values that represents the uncertainty in the prediction. PPMs not only let users know when predictions are uncertain, but the intuitive output from these models makes communicating risk easier and decision making better. Many popular machine learning methods have a PPM or Bayesian analogue, making PPMs easy to fit into current workflows. We use toxicity prediction as a running example, but the same principles apply for all prediction models used in drug discovery. The consequences of ignoring uncertainty and how PPMs account for uncertainty are also described. We aim to make the discussion accessible to a broad non-mathematical audience. Equations are provided to make ideas concrete for mathematical readers (but can be skipped without loss of understanding) and code is available for computational researchers (https://github.com/stanlazic/ML_uncertainty_quantification).","container-title":"Artificial Intelligence in the Life Sciences","DOI":"10.1016/j.ailsci.2021.100004","ISSN":"26673185","journalAbbreviation":"Artificial Intelligence in the Life Sciences","note":"arXiv:2105.09474 [cs]","page":"100004","source":"arXiv.org","title":"Quantifying sources of uncertainty in drug discovery predictions with probabilistic models","volume":"1","author":[{"family":"Lazic","given":"Stanley E."},{"family":"Williams","given":"Dominic P."}],"issued":{"date-parts":[["2021",12]]}}},{"id":838,"uris":["http://zotero.org/users/local/PQz9MTWE/items/SRGPAXFL"],"itemData":{"id":838,"type":"article-journal","abstract":"Tens-of-thousands of chemicals are registered in the U.S. for use in countless processes and products. Recent evidence suggests that many of these chemicals are measureable in environmental and/or biological systems, indicating the potential for widespread exposures. Traditional public health research tools, including in vivo studies and targeted analytical chemistry methods, have been unable to meet the needs of screening programs designed to evaluate chemical safety. As such, new tools have been developed to enable rapid assessment of potentially harmful chemical exposures and their attendant biological responses. One group of tools, known as “non-targeted analysis” (NTA) methods, allows the rapid characterization of thousands of never-before-studied compounds in a wide variety of environmental, residential, and biological media. This article discusses current applications of NTA methods, challenges to their effective use in chemical screening studies, and ways in which shared resources (e.g., chemical standards, databases, model predictions, and media measurements) can advance their use in risk-based chemical prioritization. A brief review is provided of resources and projects within EPA’s Office of Research and Development (ORD) that provide benefit to, and receive benefits from, NTA research endeavors. A summary of EPA’s Non-Targeted Analysis Collaborative Trial (ENTACT) is also given, which makes direct use of ORD resources to benefit the global NTA research community. Finally, a research framework is described that shows how NTA methods will bridge chemical prioritization efforts within ORD. This framework exists as a guide for institutions seeking to understand the complexity of chemical exposures, and the impact of these exposures on living systems.","container-title":"Journal of Exposure Science &amp; Environmental Epidemiology","DOI":"10.1038/s41370-017-0012-y","ISSN":"1559-064X","issue":"5","journalAbbreviation":"J Expo Sci Environ Epidemiol","language":"en","license":"2017 The Author(s)","note":"publisher: Nature Publishing Group","page":"411-426","source":"www.nature.com","title":"Integrating tools for non-targeted analysis research and chemical safety evaluations at the US EPA","volume":"28","author":[{"family":"Sobus","given":"Jon R."},{"family":"Wambaugh","given":"John F."},{"family":"Isaacs","given":"Kristin K."},{"family":"Williams","given":"Antony J."},{"family":"McEachran","given":"Andrew D."},{"family":"Richard","given":"Ann M."},{"family":"Grulke","given":"Christopher M."},{"family":"Ulrich","given":"Elin M."},{"family":"Rager","given":"Julia E."},{"family":"Strynar","given":"Mark J."},{"family":"Newton","given":"Seth R."}],"issued":{"date-parts":[["2018",9]]}}}],"schema":"https://github.com/citation-style-language/schema/raw/master/csl-citation.json"}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(Lazic and Williams, 2021; Sobus et al., 2018)</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E47881C" w14:textId="77777777" w:rsidR="009F3870" w:rsidRPr="006D04A7" w:rsidRDefault="009F3870" w:rsidP="009F3870">
      <w:pPr>
        <w:spacing w:after="0"/>
        <w:jc w:val="both"/>
        <w:rPr>
          <w:rFonts w:ascii="Times New Roman" w:hAnsi="Times New Roman" w:cs="Times New Roman"/>
          <w:sz w:val="24"/>
          <w:szCs w:val="24"/>
        </w:rPr>
      </w:pPr>
    </w:p>
    <w:p w14:paraId="293D7702" w14:textId="7F0E06B9" w:rsidR="009F3870"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These findings present a proof-of-concept for applying computational toxicology to atmospheric blends. Through chamber exposures integration, LC–MS/MS quantitation, and predictive </w:t>
      </w:r>
      <w:r w:rsidR="006E5E54" w:rsidRPr="006D04A7">
        <w:rPr>
          <w:rFonts w:ascii="Times New Roman" w:hAnsi="Times New Roman" w:cs="Times New Roman"/>
          <w:sz w:val="24"/>
          <w:szCs w:val="24"/>
        </w:rPr>
        <w:t>modelling</w:t>
      </w:r>
      <w:r w:rsidRPr="006D04A7">
        <w:rPr>
          <w:rFonts w:ascii="Times New Roman" w:hAnsi="Times New Roman" w:cs="Times New Roman"/>
          <w:sz w:val="24"/>
          <w:szCs w:val="24"/>
        </w:rPr>
        <w:t>, this technique enables the identification of potentially carcinogenic aerosol sources. This technique can be applied to other monoterpenes, such as α-pinene and β-pinene, which would broaden the application to indoor as well as outdoor air quality.</w:t>
      </w:r>
    </w:p>
    <w:p w14:paraId="360B6397" w14:textId="77777777" w:rsidR="009F3870" w:rsidRDefault="009F3870" w:rsidP="009F3870">
      <w:pPr>
        <w:spacing w:after="0"/>
        <w:rPr>
          <w:rFonts w:ascii="Times New Roman" w:hAnsi="Times New Roman" w:cs="Times New Roman"/>
          <w:sz w:val="24"/>
          <w:szCs w:val="24"/>
        </w:rPr>
      </w:pPr>
    </w:p>
    <w:p w14:paraId="6DF865DA" w14:textId="77777777" w:rsidR="009F3870" w:rsidRPr="00E4401F" w:rsidRDefault="009F3870" w:rsidP="009F3870">
      <w:pPr>
        <w:spacing w:after="0"/>
        <w:rPr>
          <w:rFonts w:ascii="Times New Roman" w:hAnsi="Times New Roman" w:cs="Times New Roman"/>
          <w:b/>
          <w:bCs/>
          <w:sz w:val="28"/>
          <w:szCs w:val="28"/>
        </w:rPr>
      </w:pPr>
      <w:r w:rsidRPr="00E4401F">
        <w:rPr>
          <w:rFonts w:ascii="Times New Roman" w:hAnsi="Times New Roman" w:cs="Times New Roman"/>
          <w:b/>
          <w:bCs/>
          <w:sz w:val="28"/>
          <w:szCs w:val="28"/>
        </w:rPr>
        <w:t>4. Discussion</w:t>
      </w:r>
    </w:p>
    <w:p w14:paraId="6D685FC4" w14:textId="77777777" w:rsidR="009F3870" w:rsidRPr="00E4401F" w:rsidRDefault="009F3870" w:rsidP="009F3870">
      <w:pPr>
        <w:spacing w:after="0"/>
        <w:rPr>
          <w:rFonts w:ascii="Times New Roman" w:hAnsi="Times New Roman" w:cs="Times New Roman"/>
          <w:b/>
          <w:bCs/>
          <w:sz w:val="28"/>
          <w:szCs w:val="28"/>
        </w:rPr>
      </w:pPr>
    </w:p>
    <w:p w14:paraId="582EE0E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We examined if machine learning could yield a mechanistically informed, reliable framework to predict the carcinogenic potential of ambient organic chemicals. Results indicate an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classifier trained using p53 assay data had high performance on curated datasets and generalized well to spectral fingerprints and secondary organic aerosol mixtures. This is among the first demonstrations of the direct application of predictive toxicology to atmospheric chemistry, connecting chemical characterisation with health-relevant risk assessment.</w:t>
      </w:r>
    </w:p>
    <w:p w14:paraId="1977041E" w14:textId="77777777" w:rsidR="009F3870" w:rsidRPr="00E4401F" w:rsidRDefault="009F3870" w:rsidP="009F3870">
      <w:pPr>
        <w:spacing w:after="0"/>
        <w:jc w:val="both"/>
        <w:rPr>
          <w:rFonts w:ascii="Times New Roman" w:hAnsi="Times New Roman" w:cs="Times New Roman"/>
          <w:sz w:val="24"/>
          <w:szCs w:val="24"/>
        </w:rPr>
      </w:pPr>
    </w:p>
    <w:p w14:paraId="05E5B297"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Performance on curated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 highlighted the utility of cheminformatics features. Structural fingerprints combined with monoisotopic mass recorded p53 activation patterns with </w:t>
      </w:r>
      <w:r w:rsidRPr="00E4401F">
        <w:rPr>
          <w:rFonts w:ascii="Times New Roman" w:hAnsi="Times New Roman" w:cs="Times New Roman"/>
          <w:sz w:val="24"/>
          <w:szCs w:val="24"/>
        </w:rPr>
        <w:lastRenderedPageBreak/>
        <w:t xml:space="preserve">balanced accuracies &gt;90% at ROC-optimised thresholds. Extended to MS/MS-derived fingerprints, accuracy fell to ~72%. This reduction is indicative of the lower information content of spectra compared to intact structures but remains comparable to other external validation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{"citationID":"5297GSDi","properties":{"formattedCitation":"(D\\uc0\\u252{}hrkop et al., 2019; Peets et al., 2022)","plainCitation":"(Dührkop et al., 2019; Peets et al.,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(Dührkop et al., 2019; Peets et al., 2022)</w:t>
      </w:r>
      <w:r>
        <w:rPr>
          <w:rFonts w:ascii="Times New Roman" w:hAnsi="Times New Roman" w:cs="Times New Roman"/>
          <w:sz w:val="24"/>
          <w:szCs w:val="24"/>
        </w:rPr>
        <w:fldChar w:fldCharType="end"/>
      </w:r>
      <w:r w:rsidRPr="00E4401F">
        <w:rPr>
          <w:rFonts w:ascii="Times New Roman" w:hAnsi="Times New Roman" w:cs="Times New Roman"/>
          <w:sz w:val="24"/>
          <w:szCs w:val="24"/>
        </w:rPr>
        <w:t>. Rather than indicating model weakness, this performance demonstrates robustness to domain shift, where training and test data differ in feature representation.</w:t>
      </w:r>
    </w:p>
    <w:p w14:paraId="58010D77" w14:textId="77777777" w:rsidR="009F3870" w:rsidRPr="00E4401F" w:rsidRDefault="009F3870" w:rsidP="009F3870">
      <w:pPr>
        <w:spacing w:after="0"/>
        <w:jc w:val="both"/>
        <w:rPr>
          <w:rFonts w:ascii="Times New Roman" w:hAnsi="Times New Roman" w:cs="Times New Roman"/>
          <w:sz w:val="24"/>
          <w:szCs w:val="24"/>
        </w:rPr>
      </w:pPr>
    </w:p>
    <w:p w14:paraId="3B6E7A6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Deployment to limonene SOA provided distinct structural trends. Fewer than 10% of small monomers (C₁₀ or fewer carbons) were predicted Active, compared to ~25% of dimers and more than 30% of oligomers. Larger oxygen-rich multifunctional organics were therefore more likely to be predicted Active, in agreement with mechanistic expectation and previous toxicological evidence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{"citationID":"3Naf4bd7","properties":{"formattedCitation":"(Schw\\uc0\\u246{}bel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(Schwöbel et al., 2011)</w:t>
      </w:r>
      <w:r>
        <w:rPr>
          <w:rFonts w:ascii="Times New Roman" w:hAnsi="Times New Roman" w:cs="Times New Roman"/>
          <w:sz w:val="24"/>
          <w:szCs w:val="24"/>
        </w:rPr>
        <w:fldChar w:fldCharType="end"/>
      </w:r>
      <w:r w:rsidRPr="00E4401F">
        <w:rPr>
          <w:rFonts w:ascii="Times New Roman" w:hAnsi="Times New Roman" w:cs="Times New Roman"/>
          <w:sz w:val="24"/>
          <w:szCs w:val="24"/>
        </w:rPr>
        <w:t>. That such trends emerged from a model trained solely on toxicology data testifies to its explanatory power for atmospheric mixtures.</w:t>
      </w:r>
    </w:p>
    <w:p w14:paraId="185B8C87" w14:textId="77777777" w:rsidR="009F3870" w:rsidRPr="00E4401F" w:rsidRDefault="009F3870" w:rsidP="009F3870">
      <w:pPr>
        <w:spacing w:after="0"/>
        <w:jc w:val="both"/>
        <w:rPr>
          <w:rFonts w:ascii="Times New Roman" w:hAnsi="Times New Roman" w:cs="Times New Roman"/>
          <w:sz w:val="24"/>
          <w:szCs w:val="24"/>
        </w:rPr>
      </w:pPr>
    </w:p>
    <w:p w14:paraId="0B2AE439"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Several caveats must be mentioned. The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dataset is imbalanced with relatively few active compounds, which even with weighting schemes can produce biased results. Only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was examined in depth; while extremely well-suited to high-dimensional data, comparison with Random Forests, Support Vector Machines, or graph neural networks would provide more scope for generalisability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{"citationID":"zmuI8vFV","properties":{"formattedCitation":"(Limbu and Dakshanamurthy, 2022; Mayr et al., 2016)","plainCitation":"(Limbu and Dakshanamurthy, 2022; Mayr et al., 2016)","noteIndex":0},"citationItems":[{"id":840,"uris":["http://zotero.org/users/local/PQz9MTWE/items/SE36REH9"],"itemData":{"id":840,"type":"article-journal","abstract":"Determining environmental chemical carcinogenicity is urgently needed as humans are increasingly exposed to these chemicals. In this study, we developed a hybrid neural network (HNN) method called HNN-Cancer to predict potential carcinogens of real-life chemicals. The HNN-Cancer included a new SMILES feature representation method by modifying our previous 3D array representation of 1D SMILES simulated by the convolutional neural network (CNN). We developed binary classification, multiclass classification, and regression models based on diverse non-congeneric chemicals. Along with the HNN-Cancer model, we developed models based on the random forest (RF), bootstrap aggregating (Bagging), and adaptive boosting (AdaBoost) methods for binary and multiclass classification. We developed regression models using HNN-Cancer, RF, support vector regressor (SVR), gradient boosting (GB), kernel ridge (KR), decision tree with AdaBoost (DT), KNeighbors (KN), and a consensus method. The performance of the models for all classifications was assessed using various statistical metrics. The accuracy of the HNN-Cancer, RF, and Bagging models were 74%, and their AUC was ~0.81 for binary classification models developed with 7994 chemicals. The sensitivity was 79.5% and the specificity was 67.3% for the HNN-Cancer, which outperforms the other methods. In the case of multiclass classification models with 1618 chemicals, we obtained the optimal accuracy of 70% with an AUC 0.7 for HNN-Cancer, RF, Bagging, and AdaBoost, respectively. In the case of regression models, the correlation coefficient (R) was around 0.62 for HNN-Cancer and RF higher than the SVM, GB, KR, DTBoost, and NN machine learning methods. Overall, the HNN-Cancer performed better for the majority of the known carcinogen experimental datasets. Further, the predictive performance of HNN-Cancer on diverse chemicals is comparable to the literature-reported models that included similar and less diverse molecules. Our HNN-Cancer could be used in identifying potentially carcinogenic chemicals for a wide variety of chemical classes.","container-title":"Sensors","DOI":"10.3390/s22218185","ISSN":"1424-8220","issue":"21","language":"en","license":"http://creativecommons.org/licenses/by/3.0/","note":"publisher: Multidisciplinary Digital Publishing Institute","page":"8185","source":"www.mdpi.com","title":"Predicting Chemical Carcinogens Using a Hybrid Neural Network Deep Learning Method","volume":"22","author":[{"family":"Limbu","given":"Sarita"},{"family":"Dakshanamurthy","given":"Sivanesan"}],"issued":{"date-parts":[["2022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(Limbu and Dakshanamurthy, 2022; Mayr et al., 2016)</w:t>
      </w:r>
      <w:r>
        <w:rPr>
          <w:rFonts w:ascii="Times New Roman" w:hAnsi="Times New Roman" w:cs="Times New Roman"/>
          <w:sz w:val="24"/>
          <w:szCs w:val="24"/>
        </w:rPr>
        <w:fldChar w:fldCharType="end"/>
      </w:r>
      <w:r w:rsidRPr="00E4401F">
        <w:rPr>
          <w:rFonts w:ascii="Times New Roman" w:hAnsi="Times New Roman" w:cs="Times New Roman"/>
          <w:sz w:val="24"/>
          <w:szCs w:val="24"/>
        </w:rPr>
        <w:t xml:space="preserve">. External validation was restricted to </w:t>
      </w:r>
      <w:proofErr w:type="spellStart"/>
      <w:r w:rsidRPr="00E4401F">
        <w:rPr>
          <w:rFonts w:ascii="Times New Roman" w:hAnsi="Times New Roman" w:cs="Times New Roman"/>
          <w:sz w:val="24"/>
          <w:szCs w:val="24"/>
        </w:rPr>
        <w:t>MassBank</w:t>
      </w:r>
      <w:proofErr w:type="spellEnd"/>
      <w:r w:rsidRPr="00E4401F">
        <w:rPr>
          <w:rFonts w:ascii="Times New Roman" w:hAnsi="Times New Roman" w:cs="Times New Roman"/>
          <w:sz w:val="24"/>
          <w:szCs w:val="24"/>
        </w:rPr>
        <w:t xml:space="preserve"> data, which covers only a fraction of atmospheric chemical space. Also, fingerprint inference from spectra is ambiguous, particularly for mass-resolution-indistinguishable isomers.</w:t>
      </w:r>
    </w:p>
    <w:p w14:paraId="078215A2" w14:textId="77777777" w:rsidR="009F3870" w:rsidRPr="00E4401F" w:rsidRDefault="009F3870" w:rsidP="009F3870">
      <w:pPr>
        <w:spacing w:after="0"/>
        <w:jc w:val="both"/>
        <w:rPr>
          <w:rFonts w:ascii="Times New Roman" w:hAnsi="Times New Roman" w:cs="Times New Roman"/>
          <w:sz w:val="24"/>
          <w:szCs w:val="24"/>
        </w:rPr>
      </w:pPr>
    </w:p>
    <w:p w14:paraId="2484A0C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Despite these constraints, the model is demonstrated to be of practical use as a prioritisation tool. With less than 5% of air chemicals currently profiled toxicologically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{"citationID":"W2Qi2cO9","properties":{"formattedCitation":"(Thomas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(Thomas et al., 2019)</w:t>
      </w:r>
      <w:r>
        <w:rPr>
          <w:rFonts w:ascii="Times New Roman" w:hAnsi="Times New Roman" w:cs="Times New Roman"/>
          <w:sz w:val="24"/>
          <w:szCs w:val="24"/>
        </w:rPr>
        <w:fldChar w:fldCharType="end"/>
      </w:r>
      <w:r w:rsidRPr="00E4401F">
        <w:rPr>
          <w:rFonts w:ascii="Times New Roman" w:hAnsi="Times New Roman" w:cs="Times New Roman"/>
          <w:sz w:val="24"/>
          <w:szCs w:val="24"/>
        </w:rPr>
        <w:t>, the capacity to rank compounds in silico is valuable. The approach reduces the need for animal testing, is aligned with New Approach Methodologies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{"citationID":"tlWAtJBZ","properties":{"formattedCitation":"(OECD, 2016)","plainCitation":"(OECD, 2016)","noteIndex":0},"citationItems":[{"id":648,"uris":["http://zotero.org/users/local/PQz9MTWE/items/5Y38NKC3"],"itemData":{"id":648,"type":"webpage","abstract":"Succinct,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(OECD, 2016)</w:t>
      </w:r>
      <w:r>
        <w:rPr>
          <w:rFonts w:ascii="Times New Roman" w:hAnsi="Times New Roman" w:cs="Times New Roman"/>
          <w:sz w:val="24"/>
          <w:szCs w:val="24"/>
        </w:rPr>
        <w:fldChar w:fldCharType="end"/>
      </w:r>
      <w:r w:rsidRPr="00E4401F">
        <w:rPr>
          <w:rFonts w:ascii="Times New Roman" w:hAnsi="Times New Roman" w:cs="Times New Roman"/>
          <w:sz w:val="24"/>
          <w:szCs w:val="24"/>
        </w:rPr>
        <w:t>, and provides a scalable solution for the identification of high-risk candidates for targeted laboratory testing.</w:t>
      </w:r>
    </w:p>
    <w:p w14:paraId="0F198DC0" w14:textId="77777777" w:rsidR="009F3870" w:rsidRPr="00E4401F" w:rsidRDefault="009F3870" w:rsidP="009F3870">
      <w:pPr>
        <w:spacing w:after="0"/>
        <w:jc w:val="both"/>
        <w:rPr>
          <w:rFonts w:ascii="Times New Roman" w:hAnsi="Times New Roman" w:cs="Times New Roman"/>
          <w:sz w:val="24"/>
          <w:szCs w:val="24"/>
        </w:rPr>
      </w:pPr>
    </w:p>
    <w:p w14:paraId="625FB7D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Future studies need to expand both chemical and methodological scope. Adding more mechanistic assays than p53 would follow multiple carcinogenic pathways. Expanding the workflow to other SOA precursors, such as α-pinene and β-pinene, and to atmospheric ambient air samples would enhance robustness. Adding tools for interpretability like SHAP would further connect predictions back to structural motifs, increasing linkage to mechanistic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{"citationID":"1thzk95Y","properties":{"formattedCitation":"(Lundberg and Lee, 2017; Walter, 2022)","plainCitation":"(Lundberg and Lee, 2017; Walter, 2022)","noteIndex":0},"citationItems":[{"id":416,"uris":["http://zotero.org/users/local/PQz9MTWE/items/3WS5QYYD"],"itemData":{"id":416,"type":"paper-conference","abstract":"Understanding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D311C3">
        <w:rPr>
          <w:rFonts w:ascii="Times New Roman" w:hAnsi="Times New Roman" w:cs="Times New Roman"/>
          <w:sz w:val="24"/>
        </w:rPr>
        <w:t>(Lundberg and Lee, 2017; Walter, 2022)</w:t>
      </w:r>
      <w:r>
        <w:rPr>
          <w:rFonts w:ascii="Times New Roman" w:hAnsi="Times New Roman" w:cs="Times New Roman"/>
          <w:sz w:val="24"/>
          <w:szCs w:val="24"/>
        </w:rPr>
        <w:fldChar w:fldCharType="end"/>
      </w:r>
      <w:r w:rsidRPr="00E4401F">
        <w:rPr>
          <w:rFonts w:ascii="Times New Roman" w:hAnsi="Times New Roman" w:cs="Times New Roman"/>
          <w:sz w:val="24"/>
          <w:szCs w:val="24"/>
        </w:rPr>
        <w:t>.</w:t>
      </w:r>
    </w:p>
    <w:p w14:paraId="0D1CC30C" w14:textId="77777777" w:rsidR="009F3870" w:rsidRPr="00E4401F" w:rsidRDefault="009F3870" w:rsidP="009F3870">
      <w:pPr>
        <w:spacing w:after="0"/>
        <w:jc w:val="both"/>
        <w:rPr>
          <w:rFonts w:ascii="Times New Roman" w:hAnsi="Times New Roman" w:cs="Times New Roman"/>
          <w:sz w:val="24"/>
          <w:szCs w:val="24"/>
        </w:rPr>
      </w:pPr>
    </w:p>
    <w:p w14:paraId="1A7285F1" w14:textId="7A963A95" w:rsidR="009F3870" w:rsidRPr="004D5C77" w:rsidRDefault="009F3870" w:rsidP="004D5C77">
      <w:pPr>
        <w:spacing w:after="0"/>
        <w:jc w:val="both"/>
        <w:rPr>
          <w:rFonts w:ascii="Times New Roman" w:hAnsi="Times New Roman" w:cs="Times New Roman"/>
        </w:rPr>
      </w:pPr>
      <w:r w:rsidRPr="00E4401F">
        <w:rPr>
          <w:rFonts w:ascii="Times New Roman" w:hAnsi="Times New Roman" w:cs="Times New Roman"/>
          <w:sz w:val="24"/>
          <w:szCs w:val="24"/>
        </w:rPr>
        <w:t>As a conclusion, this study illustrates that machine learning can advance predictive toxicology from curated datasets to real-world atmospheric mixtures. The innovation is in illustrating the direct applicability of a human-health toxicology model to SOA. More broadly, the workflow provides a scalable, ethical, and mechanistically informed platform for chemical risk assessment in air quality research.</w:t>
      </w:r>
    </w:p>
    <w:p w14:paraId="36893EBA" w14:textId="77777777" w:rsidR="009F3870" w:rsidRDefault="009F3870" w:rsidP="009F3870">
      <w:pPr>
        <w:spacing w:after="0"/>
        <w:rPr>
          <w:rFonts w:ascii="Times New Roman" w:hAnsi="Times New Roman" w:cs="Times New Roman"/>
          <w:b/>
          <w:bCs/>
          <w:sz w:val="28"/>
          <w:szCs w:val="28"/>
        </w:rPr>
      </w:pPr>
    </w:p>
    <w:p w14:paraId="4A3826AF" w14:textId="77777777" w:rsidR="009F3870" w:rsidRPr="00600E36" w:rsidRDefault="009F3870" w:rsidP="009F3870">
      <w:pPr>
        <w:spacing w:after="0"/>
        <w:rPr>
          <w:rFonts w:ascii="Times New Roman" w:hAnsi="Times New Roman" w:cs="Times New Roman"/>
          <w:b/>
          <w:bCs/>
          <w:sz w:val="28"/>
          <w:szCs w:val="28"/>
        </w:rPr>
      </w:pPr>
      <w:r w:rsidRPr="00600E36">
        <w:rPr>
          <w:rFonts w:ascii="Times New Roman" w:hAnsi="Times New Roman" w:cs="Times New Roman"/>
          <w:b/>
          <w:bCs/>
          <w:sz w:val="28"/>
          <w:szCs w:val="28"/>
        </w:rPr>
        <w:t xml:space="preserve">5. Conclusion </w:t>
      </w:r>
    </w:p>
    <w:p w14:paraId="6730DB7E" w14:textId="77777777" w:rsidR="009F3870" w:rsidRPr="00600E36" w:rsidRDefault="009F3870" w:rsidP="009F3870">
      <w:pPr>
        <w:spacing w:after="0"/>
        <w:rPr>
          <w:rFonts w:ascii="Times New Roman" w:hAnsi="Times New Roman" w:cs="Times New Roman"/>
          <w:sz w:val="24"/>
          <w:szCs w:val="24"/>
        </w:rPr>
      </w:pPr>
    </w:p>
    <w:p w14:paraId="58615B65" w14:textId="77777777"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w:t>
      </w:r>
      <w:r>
        <w:rPr>
          <w:rFonts w:ascii="Times New Roman" w:hAnsi="Times New Roman" w:cs="Times New Roman"/>
          <w:sz w:val="24"/>
          <w:szCs w:val="24"/>
        </w:rPr>
        <w:t xml:space="preserve"> </w:t>
      </w:r>
      <w:r w:rsidRPr="00600E36">
        <w:rPr>
          <w:rFonts w:ascii="Times New Roman" w:hAnsi="Times New Roman" w:cs="Times New Roman"/>
          <w:sz w:val="24"/>
          <w:szCs w:val="24"/>
        </w:rPr>
        <w:t xml:space="preserve">this project, a machine learning model was developed to forecast atmospheric chemicals' carcinogenicity with the mechanistic endpoint of p53 pathway activation. By training an </w:t>
      </w:r>
      <w:proofErr w:type="spellStart"/>
      <w:r w:rsidRPr="00600E36">
        <w:rPr>
          <w:rFonts w:ascii="Times New Roman" w:hAnsi="Times New Roman" w:cs="Times New Roman"/>
          <w:sz w:val="24"/>
          <w:szCs w:val="24"/>
        </w:rPr>
        <w:lastRenderedPageBreak/>
        <w:t>XGBoost</w:t>
      </w:r>
      <w:proofErr w:type="spellEnd"/>
      <w:r w:rsidRPr="00600E36">
        <w:rPr>
          <w:rFonts w:ascii="Times New Roman" w:hAnsi="Times New Roman" w:cs="Times New Roman"/>
          <w:sz w:val="24"/>
          <w:szCs w:val="24"/>
        </w:rPr>
        <w:t xml:space="preserve"> model on </w:t>
      </w:r>
      <w:proofErr w:type="spellStart"/>
      <w:r w:rsidRPr="00600E36">
        <w:rPr>
          <w:rFonts w:ascii="Times New Roman" w:hAnsi="Times New Roman" w:cs="Times New Roman"/>
          <w:sz w:val="24"/>
          <w:szCs w:val="24"/>
        </w:rPr>
        <w:t>CompTox</w:t>
      </w:r>
      <w:proofErr w:type="spellEnd"/>
      <w:r w:rsidRPr="00600E36">
        <w:rPr>
          <w:rFonts w:ascii="Times New Roman" w:hAnsi="Times New Roman" w:cs="Times New Roman"/>
          <w:sz w:val="24"/>
          <w:szCs w:val="24"/>
        </w:rPr>
        <w:t xml:space="preserve"> assay data, the study showed that structural fingerprints and monoisotopic mass features are competent to identify toxicity-related patterns. The model proved to be strongly internally accurate and stable on testing against spectrum-derived fingerprints, claiming its ability to generalise beyond curated sets. Application to limonene secondary organic aerosol also indicate</w:t>
      </w:r>
      <w:r>
        <w:rPr>
          <w:rFonts w:ascii="Times New Roman" w:hAnsi="Times New Roman" w:cs="Times New Roman"/>
          <w:sz w:val="24"/>
          <w:szCs w:val="24"/>
        </w:rPr>
        <w:t>d</w:t>
      </w:r>
      <w:r w:rsidRPr="00600E36">
        <w:rPr>
          <w:rFonts w:ascii="Times New Roman" w:hAnsi="Times New Roman" w:cs="Times New Roman"/>
          <w:sz w:val="24"/>
          <w:szCs w:val="24"/>
        </w:rPr>
        <w:t xml:space="preserve"> that the framework is able to provide environmentally relevant information, with more oxygenated and higher molecular weight compounds being consistently predicted as more likely carcinogens. </w:t>
      </w:r>
    </w:p>
    <w:p w14:paraId="29FC1DBD"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These results demonstrate how computational toxicology can progress toward real-world applicability by linking in vitro assays, cheminformatics descriptors, and air mixture. The framework provides a scalable and ethical approach to ranking hazardous chemicals, aligned with modern practices of chemical risk assessment minimizing animal usage. </w:t>
      </w:r>
    </w:p>
    <w:p w14:paraId="480DB2A7" w14:textId="77777777" w:rsidR="009F3870" w:rsidRPr="00600E36" w:rsidRDefault="009F3870" w:rsidP="009F3870">
      <w:pPr>
        <w:spacing w:after="0"/>
        <w:jc w:val="both"/>
        <w:rPr>
          <w:rFonts w:ascii="Times New Roman" w:hAnsi="Times New Roman" w:cs="Times New Roman"/>
          <w:sz w:val="24"/>
          <w:szCs w:val="24"/>
        </w:rPr>
      </w:pPr>
    </w:p>
    <w:p w14:paraId="508B8616"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However, this paper is also sensitive to its own limitations. Imbalance between the dataset of active and inactive compounds, reliance on a single algorithm, and absence of overt biological validation for SOA predictions undermine the confidence that can be placed in the conclusions. These are problems that look forward to future directions that include using multiple assays, varied machine learning models, and interpretation methods to learn more about model decision-making. </w:t>
      </w:r>
    </w:p>
    <w:p w14:paraId="13A3D688" w14:textId="77777777" w:rsidR="009F3870" w:rsidRPr="00600E36" w:rsidRDefault="009F3870" w:rsidP="009F3870">
      <w:pPr>
        <w:spacing w:after="0"/>
        <w:jc w:val="both"/>
        <w:rPr>
          <w:rFonts w:ascii="Times New Roman" w:hAnsi="Times New Roman" w:cs="Times New Roman"/>
          <w:sz w:val="24"/>
          <w:szCs w:val="24"/>
        </w:rPr>
      </w:pPr>
    </w:p>
    <w:p w14:paraId="0F69DF66" w14:textId="7BF5A05B"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 total, this project demonstrates that machine learning can contribute meaningfully</w:t>
      </w:r>
      <w:r w:rsidR="00BC029A">
        <w:rPr>
          <w:rFonts w:ascii="Times New Roman" w:hAnsi="Times New Roman" w:cs="Times New Roman"/>
          <w:sz w:val="24"/>
          <w:szCs w:val="24"/>
        </w:rPr>
        <w:t xml:space="preserve"> </w:t>
      </w:r>
      <w:r w:rsidRPr="00600E36">
        <w:rPr>
          <w:rFonts w:ascii="Times New Roman" w:hAnsi="Times New Roman" w:cs="Times New Roman"/>
          <w:sz w:val="24"/>
          <w:szCs w:val="24"/>
        </w:rPr>
        <w:t>to the study of atmospheric carcinogens, both in a scientific and in a potential public health protection sense.</w:t>
      </w:r>
    </w:p>
    <w:p w14:paraId="6380D135" w14:textId="77777777" w:rsidR="003D2EE1" w:rsidRDefault="003D2EE1">
      <w:pPr>
        <w:pStyle w:val="Heading1"/>
        <w:spacing w:before="240" w:after="240"/>
        <w:rPr>
          <w:rFonts w:eastAsia="Arial"/>
          <w:b w:val="0"/>
        </w:rPr>
      </w:pPr>
      <w:bookmarkStart w:id="3" w:name="_heading=h.ot2mula9vkgm" w:colFirst="0" w:colLast="0"/>
      <w:bookmarkEnd w:id="3"/>
    </w:p>
    <w:p w14:paraId="02D6D3DF" w14:textId="336FCFBA" w:rsidR="000F3FDE" w:rsidRPr="00F9346A" w:rsidRDefault="00000000">
      <w:pPr>
        <w:pStyle w:val="Heading1"/>
        <w:spacing w:before="240" w:after="240"/>
        <w:rPr>
          <w:rFonts w:eastAsia="Arial"/>
          <w:b w:val="0"/>
          <w:sz w:val="52"/>
          <w:szCs w:val="52"/>
        </w:rPr>
      </w:pPr>
      <w:r w:rsidRPr="00F9346A">
        <w:rPr>
          <w:rFonts w:eastAsia="Arial"/>
          <w:b w:val="0"/>
          <w:sz w:val="52"/>
          <w:szCs w:val="52"/>
        </w:rPr>
        <w:t>Data Access</w:t>
      </w:r>
    </w:p>
    <w:p w14:paraId="20C238F5" w14:textId="2F16FC56" w:rsidR="000F3FDE" w:rsidRDefault="00055DE7">
      <w:pPr>
        <w:spacing w:after="0" w:line="240" w:lineRule="auto"/>
        <w:rPr>
          <w:rFonts w:ascii="Times New Roman" w:hAnsi="Times New Roman" w:cs="Times New Roman"/>
          <w:sz w:val="24"/>
          <w:szCs w:val="24"/>
        </w:rPr>
      </w:pPr>
      <w:r w:rsidRPr="00055DE7">
        <w:rPr>
          <w:rFonts w:ascii="Times New Roman" w:hAnsi="Times New Roman" w:cs="Times New Roman"/>
          <w:sz w:val="24"/>
          <w:szCs w:val="24"/>
        </w:rPr>
        <w:t>Project code and processed data are openly available in the GitHub repository:</w:t>
      </w:r>
    </w:p>
    <w:p w14:paraId="4BD39768" w14:textId="1009E927" w:rsidR="00055DE7" w:rsidRDefault="007161D9">
      <w:pPr>
        <w:spacing w:after="0" w:line="240" w:lineRule="auto"/>
        <w:rPr>
          <w:rFonts w:ascii="Times New Roman" w:hAnsi="Times New Roman" w:cs="Times New Roman"/>
          <w:sz w:val="24"/>
          <w:szCs w:val="24"/>
        </w:rPr>
      </w:pPr>
      <w:hyperlink r:id="rId21" w:history="1">
        <w:r w:rsidRPr="00CE1ECE">
          <w:rPr>
            <w:rStyle w:val="Hyperlink"/>
            <w:rFonts w:ascii="Times New Roman" w:hAnsi="Times New Roman" w:cs="Times New Roman"/>
            <w:sz w:val="24"/>
            <w:szCs w:val="24"/>
          </w:rPr>
          <w:t>https://github.com/jashwanthikaa/Predicting-Carcinogenicity.git</w:t>
        </w:r>
      </w:hyperlink>
    </w:p>
    <w:p w14:paraId="6104A61E" w14:textId="77777777" w:rsidR="007161D9" w:rsidRPr="003D2EE1" w:rsidRDefault="007161D9">
      <w:pPr>
        <w:spacing w:after="0" w:line="240" w:lineRule="auto"/>
        <w:rPr>
          <w:rFonts w:ascii="Times New Roman" w:hAnsi="Times New Roman" w:cs="Times New Roman"/>
          <w:sz w:val="24"/>
          <w:szCs w:val="24"/>
        </w:rPr>
      </w:pPr>
    </w:p>
    <w:p w14:paraId="634710B2" w14:textId="3ACC48CF" w:rsidR="000F3FDE" w:rsidRPr="003D2EE1" w:rsidRDefault="007161D9" w:rsidP="003D2EE1">
      <w:pPr>
        <w:spacing w:after="0" w:line="240" w:lineRule="auto"/>
        <w:rPr>
          <w:rFonts w:ascii="Times New Roman" w:hAnsi="Times New Roman" w:cs="Times New Roman"/>
          <w:sz w:val="24"/>
          <w:szCs w:val="24"/>
        </w:rPr>
      </w:pPr>
      <w:r w:rsidRPr="007161D9">
        <w:rPr>
          <w:rFonts w:ascii="Times New Roman" w:hAnsi="Times New Roman" w:cs="Times New Roman"/>
          <w:sz w:val="24"/>
          <w:szCs w:val="24"/>
        </w:rPr>
        <w:t>In addition, all project code and datasets have also been archived in the supplementary file Predicting Carcinogenicity.zip, which has been submitted through the VLE. This ensures long-term accessibility even if the online repository is updated.</w:t>
      </w:r>
      <w:r>
        <w:br w:type="page"/>
      </w:r>
      <w:bookmarkStart w:id="4" w:name="_heading=h.jkwjutyib4dx" w:colFirst="0" w:colLast="0"/>
      <w:bookmarkEnd w:id="4"/>
      <w:r w:rsidRPr="00F9346A">
        <w:rPr>
          <w:rFonts w:ascii="Times New Roman" w:eastAsia="Arial" w:hAnsi="Times New Roman" w:cs="Times New Roman"/>
          <w:sz w:val="52"/>
          <w:szCs w:val="52"/>
        </w:rPr>
        <w:lastRenderedPageBreak/>
        <w:t>Bibliography</w:t>
      </w:r>
    </w:p>
    <w:p w14:paraId="15DD9083" w14:textId="77777777" w:rsidR="009F3870" w:rsidRDefault="009F3870" w:rsidP="009F3870"/>
    <w:p w14:paraId="5DA45482" w14:textId="77777777" w:rsidR="00C1382E" w:rsidRDefault="00276C58" w:rsidP="00C1382E">
      <w:pPr>
        <w:pStyle w:val="Bibliography"/>
      </w:pPr>
      <w:r w:rsidRPr="00276C58">
        <w:rPr>
          <w:sz w:val="24"/>
          <w:szCs w:val="24"/>
        </w:rPr>
        <w:fldChar w:fldCharType="begin"/>
      </w:r>
      <w:r w:rsidR="00D45E7A">
        <w:rPr>
          <w:sz w:val="24"/>
          <w:szCs w:val="24"/>
        </w:rPr>
        <w:instrText xml:space="preserve"> ADDIN ZOTERO_BIBL {"uncited":[],"omitted":[],"custom":[]} CSL_BIBLIOGRAPHY </w:instrText>
      </w:r>
      <w:r w:rsidRPr="00276C58">
        <w:rPr>
          <w:sz w:val="24"/>
          <w:szCs w:val="24"/>
        </w:rPr>
        <w:fldChar w:fldCharType="separate"/>
      </w:r>
      <w:r w:rsidR="00C1382E">
        <w:t>Arturi, K., Hollender, J., 2023. Machine Learning-Based Hazard-Driven Prioritization of Features in Nontarget Screening of Environmental High-Resolution Mass Spectrometry Data. Environ. Sci. Technol. 57, 18067–18079. https://doi.org/10.1021/acs.est.3c00304</w:t>
      </w:r>
    </w:p>
    <w:p w14:paraId="044ADB05" w14:textId="77777777" w:rsidR="00C1382E" w:rsidRDefault="00C1382E" w:rsidP="00C1382E">
      <w:pPr>
        <w:pStyle w:val="Bibliography"/>
      </w:pPr>
      <w:r>
        <w:t>Basketter, D.A., Clewell, H., Kimber, I., Rossi, A., Blaauboer, B., Burrier, R., Daneshian, M., Eskes, C., Goldberg, A., Hasiwa, N., Hoffmann, S., Jaworska, J., Knudsen, T.B., Landsiedel, R., Leist, M., Locke, P., Maxwell, G., McKim, J., McVey, E.A., Ouédraogo, G., Patlewicz, G., Pelkonen, O., Roggen, E., Rovida, C., Ruhdel, I., Schwarz, M., Schepky, A., Schoeters, G., Skinner, N., Trentz, K., Turner, M., Vanparys, P., Yager, J., Zurlo, J., Hartung, T., 2012. A roadmap for the development of alternative (non-animal) methods for systemic toxicity testing. ALTEX - Altern. Anim. Exp. 29, 3–91. https://doi.org/10.14573/altex.2012.1.003</w:t>
      </w:r>
    </w:p>
    <w:p w14:paraId="46C0EF7C" w14:textId="77777777" w:rsidR="00C1382E" w:rsidRDefault="00C1382E" w:rsidP="00C1382E">
      <w:pPr>
        <w:pStyle w:val="Bibliography"/>
      </w:pPr>
      <w:r>
        <w:t>Bateman, A.P., Nizkorodov, S.A., Laskin, J., Laskin, A., 2009. Time-resolved molecular characterization of limonene/ozone aerosol using high-resolution electrospray ionization mass spectrometry. Phys. Chem. Chem. Phys. 11, 7931. https://doi.org/10.1039/b905288g</w:t>
      </w:r>
    </w:p>
    <w:p w14:paraId="72B04960" w14:textId="77777777" w:rsidR="00C1382E" w:rsidRDefault="00C1382E" w:rsidP="00C1382E">
      <w:pPr>
        <w:pStyle w:val="Bibliography"/>
      </w:pPr>
      <w:r>
        <w:t>Böcker, S., Dührkop, K., 2016. Fragmentation trees reloaded. J. Cheminformatics 8, 5. https://doi.org/10.1186/s13321-016-0116-8</w:t>
      </w:r>
    </w:p>
    <w:p w14:paraId="6FFBE634" w14:textId="77777777" w:rsidR="00C1382E" w:rsidRDefault="00C1382E" w:rsidP="00C1382E">
      <w:pPr>
        <w:pStyle w:val="Bibliography"/>
      </w:pPr>
      <w:r>
        <w:t>Born, J., Markert, G., Janakarajan, N., B. Kimber, T., Volkamer, A., Rodríguez Martínez, M., Manica, M., 2023. v. Digit. Discov. 2, 674–691. https://doi.org/10.1039/D2DD00099G</w:t>
      </w:r>
    </w:p>
    <w:p w14:paraId="2DBB3C52" w14:textId="77777777" w:rsidR="00C1382E" w:rsidRDefault="00C1382E" w:rsidP="00C1382E">
      <w:pPr>
        <w:pStyle w:val="Bibliography"/>
      </w:pPr>
      <w:r>
        <w:t>Boulesteix, A.-L., Wilson, R., Hapfelmeier, A., 2017. Towards evidence-based computational statistics: lessons from clinical research on the role and design of real-data benchmark studies. BMC Med. Res. Methodol. 17, 138. https://doi.org/10.1186/s12874-017-0417-2</w:t>
      </w:r>
    </w:p>
    <w:p w14:paraId="0305F121" w14:textId="77777777" w:rsidR="00C1382E" w:rsidRDefault="00C1382E" w:rsidP="00C1382E">
      <w:pPr>
        <w:pStyle w:val="Bibliography"/>
      </w:pPr>
      <w:r>
        <w:t>Brodersen, K.H., Ong, C.S., Stephan, K.E., Buhmann, J.M., 2010. The Balanced Accuracy and Its Posterior Distribution, in: 2010 20th International Conference on Pattern Recognition. Presented at the 2010 20th International Conference on Pattern Recognition, pp. 3121–3124. https://doi.org/10.1109/ICPR.2010.764</w:t>
      </w:r>
    </w:p>
    <w:p w14:paraId="16004294" w14:textId="77777777" w:rsidR="00C1382E" w:rsidRDefault="00C1382E" w:rsidP="00C1382E">
      <w:pPr>
        <w:pStyle w:val="Bibliography"/>
      </w:pPr>
      <w:r>
        <w:t>Brook, R.D., Rajagopalan, S., Pope, C.A., Brook, J.R., Bhatnagar, A., Diez-Roux, A.V., Holguin, F., Hong, Y., Luepker, R.V., Mittleman, M.A., Peters, A., Siscovick, D., Smith, S.C., Whitsel, L., Kaufman, J.D., 2010. Particulate Matter Air Pollution and Cardiovascular Disease. Circulation 121, 2331–2378. https://doi.org/10.1161/CIR.0b013e3181dbece1</w:t>
      </w:r>
    </w:p>
    <w:p w14:paraId="2306D51A" w14:textId="77777777" w:rsidR="00C1382E" w:rsidRDefault="00C1382E" w:rsidP="00C1382E">
      <w:pPr>
        <w:pStyle w:val="Bibliography"/>
      </w:pPr>
      <w:r>
        <w:t>Cao, F., Zhao, X., Fu, X., Jin, Y., 2025. Computational insights into exploring the potential effects of environmental contaminants on human health. Sci. Rep. 15, 11779. https://doi.org/10.1038/s41598-025-96193-2</w:t>
      </w:r>
    </w:p>
    <w:p w14:paraId="582A0CCD" w14:textId="77777777" w:rsidR="00C1382E" w:rsidRDefault="00C1382E" w:rsidP="00C1382E">
      <w:pPr>
        <w:pStyle w:val="Bibliography"/>
      </w:pPr>
      <w:r>
        <w:t>Cavasotto, C.N., Scardino, V., 2022. Machine Learning Toxicity Prediction: Latest Advances by Toxicity End Point. ACS Omega 7, 47536–47546. https://doi.org/10.1021/acsomega.2c05693</w:t>
      </w:r>
    </w:p>
    <w:p w14:paraId="603A03D1" w14:textId="77777777" w:rsidR="00C1382E" w:rsidRDefault="00C1382E" w:rsidP="00C1382E">
      <w:pPr>
        <w:pStyle w:val="Bibliography"/>
      </w:pPr>
      <w:r>
        <w:t>Chawla, N.V., Bowyer, K.W., Hall, L.O., Kegelmeyer, W.P., 2002. SMOTE: Synthetic Minority Over-sampling Technique. J. Artif. Intell. Res. 16, 321–357. https://doi.org/10.1613/jair.953</w:t>
      </w:r>
    </w:p>
    <w:p w14:paraId="2CB13F9F" w14:textId="77777777" w:rsidR="00C1382E" w:rsidRDefault="00C1382E" w:rsidP="00C1382E">
      <w:pPr>
        <w:pStyle w:val="Bibliography"/>
      </w:pPr>
      <w:r>
        <w:t>Chen, T., Guestrin, C., 2016. XGBoost: A Scalable Tree Boosting System, in: Proceedings of the 22nd ACM SIGKDD International Conference on Knowledge Discovery and Data Mining. Presented at the KDD ’16: The 22nd ACM SIGKDD International Conference on Knowledge Discovery and Data Mining, ACM, San Francisco California USA, pp. 785–794. https://doi.org/10.1145/2939672.2939785</w:t>
      </w:r>
    </w:p>
    <w:p w14:paraId="26E2704F" w14:textId="77777777" w:rsidR="00C1382E" w:rsidRDefault="00C1382E" w:rsidP="00C1382E">
      <w:pPr>
        <w:pStyle w:val="Bibliography"/>
      </w:pPr>
      <w:r>
        <w:t>Cohen, J., 1960. A Coefficient of Agreement for Nominal Scales. Educ. Psychol. Meas. 20, 37–46. https://doi.org/10.1177/001316446002000104</w:t>
      </w:r>
    </w:p>
    <w:p w14:paraId="57FB4D5B" w14:textId="77777777" w:rsidR="00C1382E" w:rsidRDefault="00C1382E" w:rsidP="00C1382E">
      <w:pPr>
        <w:pStyle w:val="Bibliography"/>
      </w:pPr>
      <w:r>
        <w:t>CompTox Chemicals Dashboard [WWW Document], n.d. URL https://comptox.epa.gov/dashboard/ (accessed 8.20.25).</w:t>
      </w:r>
    </w:p>
    <w:p w14:paraId="5ED380E9" w14:textId="77777777" w:rsidR="00C1382E" w:rsidRDefault="00C1382E" w:rsidP="00C1382E">
      <w:pPr>
        <w:pStyle w:val="Bibliography"/>
      </w:pPr>
      <w:r>
        <w:t>Dührkop, K., Fleischauer, M., Ludwig, M., Aksenov, A.A., Melnik, A.V., Meusel, M., Dorrestein, P.C., Rousu, J., Böcker, S., 2019. SIRIUS 4: a rapid tool for turning tandem mass spectra into metabolite structure information. Nat. Methods 16, 299–302. https://doi.org/10.1038/s41592-019-0344-8</w:t>
      </w:r>
    </w:p>
    <w:p w14:paraId="73055736" w14:textId="77777777" w:rsidR="00C1382E" w:rsidRDefault="00C1382E" w:rsidP="00C1382E">
      <w:pPr>
        <w:pStyle w:val="Bibliography"/>
      </w:pPr>
      <w:r>
        <w:lastRenderedPageBreak/>
        <w:t>Dührkop, K., Shen, H., Meusel, M., Rousu, J., Böcker, S., 2015. Searching molecular structure databases with tandem mass spectra using CSI:FingerID. Proc. Natl. Acad. Sci. 112, 12580–12585. https://doi.org/10.1073/pnas.1509788112</w:t>
      </w:r>
    </w:p>
    <w:p w14:paraId="2EEFBA63" w14:textId="77777777" w:rsidR="00C1382E" w:rsidRDefault="00C1382E" w:rsidP="00C1382E">
      <w:pPr>
        <w:pStyle w:val="Bibliography"/>
      </w:pPr>
      <w:r>
        <w:t>Durant, J.L., Leland, B.A., Henry, D.R., Nourse, J.G., 2002. Reoptimization of MDL Keys for Use in Drug Discovery. J. Chem. Inf. Comput. Sci. 42, 1273–1280. https://doi.org/10.1021/ci010132r</w:t>
      </w:r>
    </w:p>
    <w:p w14:paraId="3DCE46E6" w14:textId="77777777" w:rsidR="00C1382E" w:rsidRDefault="00C1382E" w:rsidP="00C1382E">
      <w:pPr>
        <w:pStyle w:val="Bibliography"/>
      </w:pPr>
      <w:r>
        <w:t>Eaves, L.A., Smeester, L., Hartwell, H.J., Lin, Y.-H., Arashiro, M., Zhang, Z., Gold, A., Surratt, J.D., Fry, R.C., 2020. Isoprene-Derived Secondary Organic Aerosol Induces the Expression of MicroRNAs Associated with Inflammatory/Oxidative Stress Response in Lung Cells. Chem. Res. Toxicol. 33, 381–387. https://doi.org/10.1021/acs.chemrestox.9b00322</w:t>
      </w:r>
    </w:p>
    <w:p w14:paraId="2D82C4B7" w14:textId="77777777" w:rsidR="00C1382E" w:rsidRDefault="00C1382E" w:rsidP="00C1382E">
      <w:pPr>
        <w:pStyle w:val="Bibliography"/>
      </w:pPr>
      <w:r>
        <w:t>Elapavalore, A., Kondić, T., Singh, R.R., Shoemaker, B.A., Thiessen, P.A., Zhang, J., Bolton, E.E., Schymanski, E.L., 2023. Adding open spectral data to MassBank and PubChem using open source tools to support non-targeted exposomics of mixtures. Environ. Sci. Process. Impacts 25, 1788–1801. https://doi.org/10.1039/D3EM00181D</w:t>
      </w:r>
    </w:p>
    <w:p w14:paraId="0CC16E2F" w14:textId="77777777" w:rsidR="00C1382E" w:rsidRDefault="00C1382E" w:rsidP="00C1382E">
      <w:pPr>
        <w:pStyle w:val="Bibliography"/>
      </w:pPr>
      <w:r>
        <w:t>Escher, S.E., Partosch, F., Konzok, S., Jennings, P., Luijten, M., Kienhuis, A., de Leeuw, V., Reuss, R., Lindemann, K.-M., Bennekou, S.H., 2022. Development of a Roadmap for Action on New Approach Methodologies in Risk Assessment. EFSA Support. Publ. 19, 7341E. https://doi.org/10.2903/sp.efsa.2022.EN-7341</w:t>
      </w:r>
    </w:p>
    <w:p w14:paraId="73ACC269" w14:textId="77777777" w:rsidR="00C1382E" w:rsidRDefault="00C1382E" w:rsidP="00C1382E">
      <w:pPr>
        <w:pStyle w:val="Bibliography"/>
      </w:pPr>
      <w:r>
        <w:t>Guha, R., 2007. Chemical Informatics Functionality in R.</w:t>
      </w:r>
    </w:p>
    <w:p w14:paraId="45AB1EF8" w14:textId="77777777" w:rsidR="00C1382E" w:rsidRDefault="00C1382E" w:rsidP="00C1382E">
      <w:pPr>
        <w:pStyle w:val="Bibliography"/>
      </w:pPr>
      <w:r>
        <w:t>Guo, C., Pleiss, G., Sun, Y., Weinberger, K.Q., 2017. On Calibration of Modern Neural Networks.</w:t>
      </w:r>
    </w:p>
    <w:p w14:paraId="50CFEE6E" w14:textId="77777777" w:rsidR="00C1382E" w:rsidRDefault="00C1382E" w:rsidP="00C1382E">
      <w:pPr>
        <w:pStyle w:val="Bibliography"/>
      </w:pPr>
      <w:r>
        <w:t>Guyon, I., Elisseeff, A., n.d. An Introduction to Variable and Feature Selection.</w:t>
      </w:r>
    </w:p>
    <w:p w14:paraId="53FABFBC" w14:textId="77777777" w:rsidR="00C1382E" w:rsidRDefault="00C1382E" w:rsidP="00C1382E">
      <w:pPr>
        <w:pStyle w:val="Bibliography"/>
      </w:pPr>
      <w:r>
        <w:t>Hall, L.H., Kier, L.B., 1995. Electrotopological State Indices for Atom Types: A Novel Combination of Electronic, Topological, and Valence State Information. J. Chem. Inf. Comput. Sci. 35, 1039–1045. https://doi.org/10.1021/ci00028a014</w:t>
      </w:r>
    </w:p>
    <w:p w14:paraId="559A7DF7" w14:textId="77777777" w:rsidR="00C1382E" w:rsidRDefault="00C1382E" w:rsidP="00C1382E">
      <w:pPr>
        <w:pStyle w:val="Bibliography"/>
      </w:pPr>
      <w:r>
        <w:t>Hallquist, M., Wenger, J.C., Baltensperger, U., Rudich, Y., Simpson, D., Claeys, M., Dommen, J., Donahue, N.M., George, C., Goldstein, A.H., Hamilton, J.F., Herrmann, H., Hoffmann, T., Iinuma, Y., Jang, M., Jenkin, M.E., Jimenez, J.L., Kiendler-Scharr, A., Maenhaut, W., McFiggans, G., Mentel, T.F., Monod, A., Prévôt, A.S.H., Seinfeld, J.H., Surratt, J.D., Szmigielski, R., Wildt, J., 2009. The formation, properties and impact of secondary organic aerosol: current and emerging issues. Atmospheric Chem. Phys. 9, 5155–5236. https://doi.org/10.5194/acp-9-5155-2009</w:t>
      </w:r>
    </w:p>
    <w:p w14:paraId="22DF5170" w14:textId="77777777" w:rsidR="00C1382E" w:rsidRDefault="00C1382E" w:rsidP="00C1382E">
      <w:pPr>
        <w:pStyle w:val="Bibliography"/>
      </w:pPr>
      <w:r>
        <w:t>Hanahan, D., Weinberg, R.A., 2011. Hallmarks of Cancer: The Next Generation. Cell 144, 646–674. https://doi.org/10.1016/j.cell.2011.02.013</w:t>
      </w:r>
    </w:p>
    <w:p w14:paraId="6C43EDF5" w14:textId="77777777" w:rsidR="00C1382E" w:rsidRDefault="00C1382E" w:rsidP="00C1382E">
      <w:pPr>
        <w:pStyle w:val="Bibliography"/>
      </w:pPr>
      <w:r>
        <w:t>Hastie, T., Tibshirani, R., Friedman, J., 2009. The Elements of Statistical Learning, Springer Series in Statistics. Springer New York, New York, NY. https://doi.org/10.1007/978-0-387-84858-7</w:t>
      </w:r>
    </w:p>
    <w:p w14:paraId="050CB9A8" w14:textId="77777777" w:rsidR="00C1382E" w:rsidRDefault="00C1382E" w:rsidP="00C1382E">
      <w:pPr>
        <w:pStyle w:val="Bibliography"/>
      </w:pPr>
      <w:r>
        <w:t>Helma, C., Cramer, T., Kramer, S., De Raedt, L., 2004. Data Mining and Machine Learning Techniques for the Identification of Mutagenicity Inducing Substructures and Structure Activity Relationships of Noncongeneric Compounds. J. Chem. Inf. Comput. Sci. 44, 1402–1411. https://doi.org/10.1021/ci034254q</w:t>
      </w:r>
    </w:p>
    <w:p w14:paraId="543B1A00" w14:textId="77777777" w:rsidR="00C1382E" w:rsidRDefault="00C1382E" w:rsidP="00C1382E">
      <w:pPr>
        <w:pStyle w:val="Bibliography"/>
      </w:pPr>
      <w:r>
        <w:t>Jaganathan, K., Tayara, H., Chong, K.T., 2022. An Explainable Supervised Machine Learning Model for Predicting Respiratory Toxicity of Chemicals Using Optimal Molecular Descriptors. Pharmaceutics 14, 832. https://doi.org/10.3390/pharmaceutics14040832</w:t>
      </w:r>
    </w:p>
    <w:p w14:paraId="7A616623" w14:textId="77777777" w:rsidR="00C1382E" w:rsidRDefault="00C1382E" w:rsidP="00C1382E">
      <w:pPr>
        <w:pStyle w:val="Bibliography"/>
      </w:pPr>
      <w:r>
        <w:t>Jaworska, J., Hoffmann, S., 2010. Integrated Testing Strategy (ITS) – opportunities to better use existing data and guide future testing in toxicology. ALTEX - Altern. Anim. Exp. 27, 231–242. https://doi.org/10.14573/altex.2010.4.231</w:t>
      </w:r>
    </w:p>
    <w:p w14:paraId="05983B63" w14:textId="77777777" w:rsidR="00C1382E" w:rsidRDefault="00C1382E" w:rsidP="00C1382E">
      <w:pPr>
        <w:pStyle w:val="Bibliography"/>
      </w:pPr>
      <w:r>
        <w:t>Jia, X., Wang, T., Zhu, H., 2023. Advancing Computational Toxicology by Interpretable Machine Learning. Environ. Sci. Technol. 57, 17690–17706. https://doi.org/10.1021/acs.est.3c00653</w:t>
      </w:r>
    </w:p>
    <w:p w14:paraId="3C2B0361" w14:textId="77777777" w:rsidR="00C1382E" w:rsidRDefault="00C1382E" w:rsidP="00C1382E">
      <w:pPr>
        <w:pStyle w:val="Bibliography"/>
      </w:pPr>
      <w:r>
        <w:t>Judson, R.S., Houck, K.A., Kavlock, R.J., Knudsen, T.B., Martin, M.T., Mortensen, H.M., Reif, D.M., Rotroff, D.M., Shah, I., Richard, A.M., Dix, D.J., 2010. In Vitro Screening of Environmental Chemicals for Targeted Testing Prioritization: The ToxCast Project. Environ. Health Perspect. 118, 485–492. https://doi.org/10.1289/ehp.0901392</w:t>
      </w:r>
    </w:p>
    <w:p w14:paraId="592D85D7" w14:textId="77777777" w:rsidR="00C1382E" w:rsidRDefault="00C1382E" w:rsidP="00C1382E">
      <w:pPr>
        <w:pStyle w:val="Bibliography"/>
      </w:pPr>
      <w:r>
        <w:lastRenderedPageBreak/>
        <w:t>Kang, Y., Kim, M.G., Lim, K.-M., 2023. Machine-learning based prediction models for assessing skin irritation and corrosion potential of liquid chemicals using physicochemical properties by XGBoost. Toxicol. Res. 39, 295–305. https://doi.org/10.1007/s43188-022-00168-8</w:t>
      </w:r>
    </w:p>
    <w:p w14:paraId="42746EA2" w14:textId="77777777" w:rsidR="00C1382E" w:rsidRDefault="00C1382E" w:rsidP="00C1382E">
      <w:pPr>
        <w:pStyle w:val="Bibliography"/>
      </w:pPr>
      <w:r>
        <w:t>Kastenhuber, E.R., Lowe, S.W., 2017. Putting p53 in Context. Cell 170, 1062–1078. https://doi.org/10.1016/j.cell.2017.08.028</w:t>
      </w:r>
    </w:p>
    <w:p w14:paraId="07C51B6A" w14:textId="77777777" w:rsidR="00C1382E" w:rsidRDefault="00C1382E" w:rsidP="00C1382E">
      <w:pPr>
        <w:pStyle w:val="Bibliography"/>
      </w:pPr>
      <w:r>
        <w:t>Kavlock, R.J., Ankley, G., Blancato, J., Breen, M., Conolly, R., Dix, D., Houck, K., Hubal, E., Judson, R., Rabinowitz, J., Richard, A., Setzer, R.W., Shah, I., Villeneuve, D., Weber, E., 2008. Computational Toxicology—A State of the Science Mini Review. Toxicol. Sci. 103, 14–27. https://doi.org/10.1093/toxsci/kfm297</w:t>
      </w:r>
    </w:p>
    <w:p w14:paraId="2FB96DD4" w14:textId="77777777" w:rsidR="00C1382E" w:rsidRDefault="00C1382E" w:rsidP="00C1382E">
      <w:pPr>
        <w:pStyle w:val="Bibliography"/>
      </w:pPr>
      <w:r>
        <w:t>Ke, G., Meng, Q., Finley, T., Wang, T., Chen, W., Ma, W., Ye, Q., Liu, T.-Y., 2017. LightGBM: A Highly Efficient Gradient Boosting Decision Tree, in: Advances in Neural Information Processing Systems. Curran Associates, Inc.</w:t>
      </w:r>
    </w:p>
    <w:p w14:paraId="77B719F5" w14:textId="77777777" w:rsidR="00C1382E" w:rsidRDefault="00C1382E" w:rsidP="00C1382E">
      <w:pPr>
        <w:pStyle w:val="Bibliography"/>
      </w:pPr>
      <w:r>
        <w:t>Kelly, F.J., Fussell, J.C., 2012. Size, source and chemical composition as determinants of toxicity attributable to ambient particulate matter. Atmos. Environ. 60, 504–526. https://doi.org/10.1016/j.atmosenv.2012.06.039</w:t>
      </w:r>
    </w:p>
    <w:p w14:paraId="466BB1D5" w14:textId="77777777" w:rsidR="00C1382E" w:rsidRDefault="00C1382E" w:rsidP="00C1382E">
      <w:pPr>
        <w:pStyle w:val="Bibliography"/>
      </w:pPr>
      <w:r>
        <w:t>Khan, F., Jaoui, M., Rudziński, K., Kwapiszewska, K., Martinez-Romero, A., Gil-Casanova, D., Lewandowski, M., Kleindienst, T.E., Offenberg, J.H., Krug, J.D., Surratt, J.D., Szmigielski, R., 2022. Cytotoxicity and oxidative stress induced by atmospheric mono-nitrophenols in human lung cells. Environ. Pollut. 301, 119010. https://doi.org/10.1016/j.envpol.2022.119010</w:t>
      </w:r>
    </w:p>
    <w:p w14:paraId="2C920C86" w14:textId="77777777" w:rsidR="00C1382E" w:rsidRDefault="00C1382E" w:rsidP="00C1382E">
      <w:pPr>
        <w:pStyle w:val="Bibliography"/>
      </w:pPr>
      <w:r>
        <w:t>Kim, K.-H., Kabir, E., Kabir, S., 2015. A review on the human health impact of airborne particulate matter. Environ. Int. 74, 136–143. https://doi.org/10.1016/j.envint.2014.10.005</w:t>
      </w:r>
    </w:p>
    <w:p w14:paraId="79F749D7" w14:textId="77777777" w:rsidR="00C1382E" w:rsidRDefault="00C1382E" w:rsidP="00C1382E">
      <w:pPr>
        <w:pStyle w:val="Bibliography"/>
      </w:pPr>
      <w:r>
        <w:t>Kind, T., Fiehn, O., 2010. Advances in structure elucidation of small molecules using mass spectrometry. Bioanal. Rev. 2, 23–60. https://doi.org/10.1007/s12566-010-0015-9</w:t>
      </w:r>
    </w:p>
    <w:p w14:paraId="1ED8C328" w14:textId="77777777" w:rsidR="00C1382E" w:rsidRDefault="00C1382E" w:rsidP="00C1382E">
      <w:pPr>
        <w:pStyle w:val="Bibliography"/>
      </w:pPr>
      <w:r>
        <w:t>Klekota, J., Roth, F.P., 2008. Chemical substructures that enrich for biological activity. Bioinformatics 24, 2518–2525. https://doi.org/10.1093/bioinformatics/btn479</w:t>
      </w:r>
    </w:p>
    <w:p w14:paraId="7CC3875B" w14:textId="77777777" w:rsidR="00C1382E" w:rsidRDefault="00C1382E" w:rsidP="00C1382E">
      <w:pPr>
        <w:pStyle w:val="Bibliography"/>
      </w:pPr>
      <w:r>
        <w:t>Kovacic, P., Somanathan, R., 2014. Nitroaromatic compounds: Environmental toxicity, carcinogenicity, mutagenicity, therapy and mechanism. J. Appl. Toxicol. 34, 810–824. https://doi.org/10.1002/jat.2980</w:t>
      </w:r>
    </w:p>
    <w:p w14:paraId="742CA63E" w14:textId="77777777" w:rsidR="00C1382E" w:rsidRDefault="00C1382E" w:rsidP="00C1382E">
      <w:pPr>
        <w:pStyle w:val="Bibliography"/>
      </w:pPr>
      <w:r>
        <w:t>Krewski, D., Acosta, D., Andersen, M., Anderson, H., Bailar, J.C., Boekelheide, K., Brent, R., Charnley, G., Cheung, V.G., Green, S., Kelsey, K.T., Kerkvliet, N.I., Li, A.A., McCray, L., Meyer, O., Patterson, R.D., Pennie, W., Scala, R.A., Solomon, G.M., Stephens, M., Yager, J., Zeise, L., 2010. TOXICITY TESTING IN THE 21ST CENTURY: A VISION AND A STRATEGY. J. Toxicol. Environ. Health B Crit. Rev. 13, 51–138. https://doi.org/10.1080/10937404.2010.483176</w:t>
      </w:r>
    </w:p>
    <w:p w14:paraId="6FF27FD9" w14:textId="77777777" w:rsidR="00C1382E" w:rsidRDefault="00C1382E" w:rsidP="00C1382E">
      <w:pPr>
        <w:pStyle w:val="Bibliography"/>
      </w:pPr>
      <w:r>
        <w:t>Kuhn, M., 2008. Building Predictive Models in R Using the caret Package. J. Stat. Softw. 28, 1–26. https://doi.org/10.18637/jss.v028.i05</w:t>
      </w:r>
    </w:p>
    <w:p w14:paraId="451F9441" w14:textId="77777777" w:rsidR="00C1382E" w:rsidRDefault="00C1382E" w:rsidP="00C1382E">
      <w:pPr>
        <w:pStyle w:val="Bibliography"/>
      </w:pPr>
      <w:r>
        <w:t>Kuhn, M., Johnson, K., 2013. Applied Predictive Modeling. Springer New York, New York, NY. https://doi.org/10.1007/978-1-4614-6849-3</w:t>
      </w:r>
    </w:p>
    <w:p w14:paraId="67875528" w14:textId="77777777" w:rsidR="00C1382E" w:rsidRDefault="00C1382E" w:rsidP="00C1382E">
      <w:pPr>
        <w:pStyle w:val="Bibliography"/>
      </w:pPr>
      <w:r>
        <w:t>Landrigan, P.J., Fuller, R., Acosta, N.J.R., Adeyi, O., Arnold, R., Basu, N. (Nil), Baldé, A.B., Bertollini, R., Bose-O’Reilly, S., Boufford, J.I., Breysse, P.N., Chiles, T., Mahidol, C., Coll-Seck, A.M., Cropper, M.L., Fobil, J., Fuster, V., Greenstone, M., Haines, A., Hanrahan, D., Hunter, D., Khare, M., Krupnick, A., Lanphear, B., Lohani, B., Martin, K., Mathiasen, K.V., McTeer, M.A., Murray, C.J.L., Ndahimananjara, J.D., Perera, F., Potočnik, J., Preker, A.S., Ramesh, J., Rockström, J., Salinas, C., Samson, L.D., Sandilya, K., Sly, P.D., Smith, K.R., Steiner, A., Stewart, R.B., Suk, W.A., Schayck, O.C.P. van, Yadama, G.N., Yumkella, K., Zhong, M., 2018. The Lancet Commission on pollution and health. The Lancet 391, 462–512. https://doi.org/10.1016/S0140-6736(17)32345-0</w:t>
      </w:r>
    </w:p>
    <w:p w14:paraId="4DDACDAD" w14:textId="77777777" w:rsidR="00C1382E" w:rsidRDefault="00C1382E" w:rsidP="00C1382E">
      <w:pPr>
        <w:pStyle w:val="Bibliography"/>
      </w:pPr>
      <w:r>
        <w:t>Lane, D.P., 1992. p53, guardian of the genome. Nature 358, 15–16. https://doi.org/10.1038/358015a0</w:t>
      </w:r>
    </w:p>
    <w:p w14:paraId="5E114022" w14:textId="77777777" w:rsidR="00C1382E" w:rsidRDefault="00C1382E" w:rsidP="00C1382E">
      <w:pPr>
        <w:pStyle w:val="Bibliography"/>
      </w:pPr>
      <w:r>
        <w:t>Lazic, S.E., Williams, D.P., 2021. Quantifying sources of uncertainty in drug discovery predictions with probabilistic models. Artif. Intell. Life Sci. 1, 100004. https://doi.org/10.1016/j.ailsci.2021.100004</w:t>
      </w:r>
    </w:p>
    <w:p w14:paraId="56D653D5" w14:textId="77777777" w:rsidR="00C1382E" w:rsidRDefault="00C1382E" w:rsidP="00C1382E">
      <w:pPr>
        <w:pStyle w:val="Bibliography"/>
      </w:pPr>
      <w:r>
        <w:lastRenderedPageBreak/>
        <w:t>Levine, A.J., 1997. p53, the Cellular Gatekeeper Review for Growth and Division.</w:t>
      </w:r>
    </w:p>
    <w:p w14:paraId="775AF967" w14:textId="77777777" w:rsidR="00C1382E" w:rsidRDefault="00C1382E" w:rsidP="00C1382E">
      <w:pPr>
        <w:pStyle w:val="Bibliography"/>
      </w:pPr>
      <w:r>
        <w:t>Li, R., Zhou, R., Zhang, J., 2018. Function of PM2.5 in the pathogenesis of lung cancer and chronic airway inflammatory diseases. Oncol. Lett. 15, 7506–7514. https://doi.org/10.3892/ol.2018.8355</w:t>
      </w:r>
    </w:p>
    <w:p w14:paraId="781EDB40" w14:textId="77777777" w:rsidR="00C1382E" w:rsidRDefault="00C1382E" w:rsidP="00C1382E">
      <w:pPr>
        <w:pStyle w:val="Bibliography"/>
      </w:pPr>
      <w:r>
        <w:t>Li, Z., Niu, F., Fan, J., Liu, Y., Rosenfeld, D., Ding, Y., 2011. Long-term impacts of aerosols on the vertical development of clouds and precipitation. Nat. Geosci. 4, 888–894. https://doi.org/10.1038/ngeo1313</w:t>
      </w:r>
    </w:p>
    <w:p w14:paraId="52CE29C0" w14:textId="77777777" w:rsidR="00C1382E" w:rsidRDefault="00C1382E" w:rsidP="00C1382E">
      <w:pPr>
        <w:pStyle w:val="Bibliography"/>
      </w:pPr>
      <w:r>
        <w:t>Lima de Albuquerque, Y., Berger, E., Tomaz, S., George, C., Géloën, A., 2021. Evaluation of the Toxicity on Lung Cells of By-Products Present in Naphthalene Secondary Organic Aerosols. Life Basel Switz. 11, 319. https://doi.org/10.3390/life11040319</w:t>
      </w:r>
    </w:p>
    <w:p w14:paraId="4A247C32" w14:textId="77777777" w:rsidR="00C1382E" w:rsidRDefault="00C1382E" w:rsidP="00C1382E">
      <w:pPr>
        <w:pStyle w:val="Bibliography"/>
      </w:pPr>
      <w:r>
        <w:t>Limbu, S., Dakshanamurthy, S., 2022. Predicting Chemical Carcinogens Using a Hybrid Neural Network Deep Learning Method. Sensors 22, 8185. https://doi.org/10.3390/s22218185</w:t>
      </w:r>
    </w:p>
    <w:p w14:paraId="74BD7502" w14:textId="77777777" w:rsidR="00C1382E" w:rsidRDefault="00C1382E" w:rsidP="00C1382E">
      <w:pPr>
        <w:pStyle w:val="Bibliography"/>
      </w:pPr>
      <w:r>
        <w:t>Lundberg, S.M., Lee, S.-I., 2017. A Unified Approach to Interpreting Model Predictions, in: Advances in Neural Information Processing Systems. Curran Associates, Inc.</w:t>
      </w:r>
    </w:p>
    <w:p w14:paraId="233ECEAE" w14:textId="77777777" w:rsidR="00C1382E" w:rsidRDefault="00C1382E" w:rsidP="00C1382E">
      <w:pPr>
        <w:pStyle w:val="Bibliography"/>
      </w:pPr>
      <w:r>
        <w:t>Mayr, A., Klambauer, G., Unterthiner, T., Hochreiter, S., 2016. DeepTox: Toxicity Prediction using Deep Learning. Front. Environ. Sci. 3. https://doi.org/10.3389/fenvs.2015.00080</w:t>
      </w:r>
    </w:p>
    <w:p w14:paraId="3B8BB3EA" w14:textId="77777777" w:rsidR="00C1382E" w:rsidRDefault="00C1382E" w:rsidP="00C1382E">
      <w:pPr>
        <w:pStyle w:val="Bibliography"/>
      </w:pPr>
      <w:r>
        <w:t>Morehouse, B.R., Kumar, R.P., Matos, J.O., Olsen, S.N., Entova, S., Oprian, D.D., 2017. Functional and Structural Characterization of a (+)-Limonene Synthase from Citrus sinensis. Biochemistry 56, 1706–1715. https://doi.org/10.1021/acs.biochem.7b00143</w:t>
      </w:r>
    </w:p>
    <w:p w14:paraId="7981F584" w14:textId="77777777" w:rsidR="00C1382E" w:rsidRDefault="00C1382E" w:rsidP="00C1382E">
      <w:pPr>
        <w:pStyle w:val="Bibliography"/>
      </w:pPr>
      <w:r>
        <w:t>Najjar, A., Kramer, N., Gardner, I., Hartung, T., Steger-Hartmann, T., 2023. Editorial: Advances in and applications of predictive toxicology: 2022. Front. Pharmacol. 14, 1257423. https://doi.org/10.3389/fphar.2023.1257423</w:t>
      </w:r>
    </w:p>
    <w:p w14:paraId="09B4BD2C" w14:textId="77777777" w:rsidR="00C1382E" w:rsidRDefault="00C1382E" w:rsidP="00C1382E">
      <w:pPr>
        <w:pStyle w:val="Bibliography"/>
      </w:pPr>
      <w:r>
        <w:t>Niculescu-Mizil, A., Caruana, R., 2005. Predicting good probabilities with supervised learning, in: Proceedings of the 22nd International Conference on Machine Learning  - ICML ’05. Presented at the the 22nd international conference, ACM Press, Bonn, Germany, pp. 625–632. https://doi.org/10.1145/1102351.1102430</w:t>
      </w:r>
    </w:p>
    <w:p w14:paraId="75C9E9F8" w14:textId="77777777" w:rsidR="00C1382E" w:rsidRDefault="00C1382E" w:rsidP="00C1382E">
      <w:pPr>
        <w:pStyle w:val="Bibliography"/>
      </w:pPr>
      <w:r>
        <w:t>OECD, 2023. (Q)SAR Assessment Framework: Guidance for the regulatory assessment of (Quantitative) Structure Activity Relationship models and predictions, OECD Series on Testing and Assessment. OECD. https://doi.org/10.1787/d96118f6-en</w:t>
      </w:r>
    </w:p>
    <w:p w14:paraId="5E21B6A5" w14:textId="77777777" w:rsidR="00C1382E" w:rsidRDefault="00C1382E" w:rsidP="00C1382E">
      <w:pPr>
        <w:pStyle w:val="Bibliography"/>
      </w:pPr>
      <w:r>
        <w:t>OECD, 2016. Testing of chemicals [WWW Document]. OECD. URL https://www.oecd.org/en/topics/testing-of-chemicals.html (accessed 8.7.25).</w:t>
      </w:r>
    </w:p>
    <w:p w14:paraId="4E68B2FB" w14:textId="77777777" w:rsidR="00C1382E" w:rsidRDefault="00C1382E" w:rsidP="00C1382E">
      <w:pPr>
        <w:pStyle w:val="Bibliography"/>
      </w:pPr>
      <w:r>
        <w:t>Olivier, M., Hollstein, M., Hainaut, P., 2010. TP53 Mutations in Human Cancers: Origins, Consequences, and Clinical Use. Cold Spring Harb. Perspect. Biol. 2, a001008. https://doi.org/10.1101/cshperspect.a001008</w:t>
      </w:r>
    </w:p>
    <w:p w14:paraId="21A71543" w14:textId="77777777" w:rsidR="00C1382E" w:rsidRDefault="00C1382E" w:rsidP="00C1382E">
      <w:pPr>
        <w:pStyle w:val="Bibliography"/>
      </w:pPr>
      <w:r>
        <w:t>Palm, E., Kruve, A., 2022. Machine Learning for Absolute Quantification of Unidentified Compounds in Non-Targeted LC/HRMS. Molecules 27, 1013. https://doi.org/10.3390/molecules27031013</w:t>
      </w:r>
    </w:p>
    <w:p w14:paraId="21E76928" w14:textId="77777777" w:rsidR="00C1382E" w:rsidRDefault="00C1382E" w:rsidP="00C1382E">
      <w:pPr>
        <w:pStyle w:val="Bibliography"/>
      </w:pPr>
      <w:r>
        <w:t>Peets, P., Wang, W.-C., MacLeod, M., Breitholtz, M., Martin, J.W., Kruve, A., 2022. MS2Tox Machine Learning Tool for Predicting the Ecotoxicity of Unidentified Chemicals in Water by Nontarget LC-HRMS. Environ. Sci. Technol. 56, 15508–15517. https://doi.org/10.1021/acs.est.2c02536</w:t>
      </w:r>
    </w:p>
    <w:p w14:paraId="45B9F7C0" w14:textId="77777777" w:rsidR="00C1382E" w:rsidRDefault="00C1382E" w:rsidP="00C1382E">
      <w:pPr>
        <w:pStyle w:val="Bibliography"/>
      </w:pPr>
      <w:r>
        <w:t>Pereira, K.L., Rovelli, G., Song, Y.C., Mayhew, A.W., Reid, J.P., Hamilton, J.F., 2019. A new aerosol flow reactor to study secondary organic aerosol. Atmospheric Meas. Tech. 12, 4519–4541. https://doi.org/10.5194/amt-12-4519-2019</w:t>
      </w:r>
    </w:p>
    <w:p w14:paraId="0A6260E3" w14:textId="77777777" w:rsidR="00C1382E" w:rsidRDefault="00C1382E" w:rsidP="00C1382E">
      <w:pPr>
        <w:pStyle w:val="Bibliography"/>
      </w:pPr>
      <w:r>
        <w:t>Perwez Hussain, S., Harris, C.C., 2007. Inflammation and cancer: An ancient link with novel potentials. Int. J. Cancer 121, 2373–2380. https://doi.org/10.1002/ijc.23173</w:t>
      </w:r>
    </w:p>
    <w:p w14:paraId="7B2B99A9" w14:textId="77777777" w:rsidR="00C1382E" w:rsidRDefault="00C1382E" w:rsidP="00C1382E">
      <w:pPr>
        <w:pStyle w:val="Bibliography"/>
      </w:pPr>
      <w:r>
        <w:t>Ponce-Bobadilla, A.V., Schmitt, V., Maier, C.S., Mensing, S., Stodtmann, S., 2024. Practical guide to SHAP analysis: Explaining supervised machine learning model predictions in drug development. Clin. Transl. Sci. 17, e70056. https://doi.org/10.1111/cts.70056</w:t>
      </w:r>
    </w:p>
    <w:p w14:paraId="52B2E73F" w14:textId="77777777" w:rsidR="00C1382E" w:rsidRDefault="00C1382E" w:rsidP="00C1382E">
      <w:pPr>
        <w:pStyle w:val="Bibliography"/>
      </w:pPr>
      <w:r>
        <w:t>Pope III, C.A., and Dockery, D.W., 2006. Health Effects of Fine Particulate Air Pollution: Lines that Connect. J. Air Waste Manag. Assoc. 56, 709–742. https://doi.org/10.1080/10473289.2006.10464485</w:t>
      </w:r>
    </w:p>
    <w:p w14:paraId="345E49A8" w14:textId="77777777" w:rsidR="00C1382E" w:rsidRDefault="00C1382E" w:rsidP="00C1382E">
      <w:pPr>
        <w:pStyle w:val="Bibliography"/>
      </w:pPr>
      <w:r>
        <w:lastRenderedPageBreak/>
        <w:t>Pöschl, U., 2005. Atmospheric Aerosols: Composition, Transformation, Climate and Health Effects. Angew. Chem. Int. Ed. 44, 7520–7540. https://doi.org/10.1002/anie.200501122</w:t>
      </w:r>
    </w:p>
    <w:p w14:paraId="203C8FD8" w14:textId="77777777" w:rsidR="00C1382E" w:rsidRDefault="00C1382E" w:rsidP="00C1382E">
      <w:pPr>
        <w:pStyle w:val="Bibliography"/>
      </w:pPr>
      <w:r>
        <w:t>Powers, D.M.W., 2020. Evaluation: from precision, recall and F-measure to ROC, informedness, markedness and correlation. https://doi.org/10.48550/arXiv.2010.16061</w:t>
      </w:r>
    </w:p>
    <w:p w14:paraId="4E6714D4" w14:textId="77777777" w:rsidR="00C1382E" w:rsidRDefault="00C1382E" w:rsidP="00C1382E">
      <w:pPr>
        <w:pStyle w:val="Bibliography"/>
      </w:pPr>
      <w:r>
        <w:t>Probst, P., Wright, M.N., Boulesteix, A.-L., 2019. Hyperparameters and tuning strategies for random forest. WIREs Data Min. Knowl. Discov. 9, e1301. https://doi.org/10.1002/widm.1301</w:t>
      </w:r>
    </w:p>
    <w:p w14:paraId="6396EE2B" w14:textId="77777777" w:rsidR="00C1382E" w:rsidRDefault="00C1382E" w:rsidP="00C1382E">
      <w:pPr>
        <w:pStyle w:val="Bibliography"/>
      </w:pPr>
      <w:r>
        <w:t>Quinonero-Candela, J., Sugiyama, M., Schwaighofer, A., Lawrence, N.D., 2022. Dataset Shift in Machine Learning. MIT Press.</w:t>
      </w:r>
    </w:p>
    <w:p w14:paraId="303BC9B4" w14:textId="77777777" w:rsidR="00C1382E" w:rsidRDefault="00C1382E" w:rsidP="00C1382E">
      <w:pPr>
        <w:pStyle w:val="Bibliography"/>
      </w:pPr>
      <w:r>
        <w:t>Richard, A.M., Judson, R.S., Houck, K.A., Grulke, C.M., Volarath, P., Thillainadarajah, I., Yang, C., Rathman, J., Martin, M.T., Wambaugh, J.F., Knudsen, T.B., Kancherla, J., Mansouri, K., Patlewicz, G., Williams, A.J., Little, S.B., Crofton, K.M., Thomas, R.S., 2016. ToxCast Chemical Landscape: Paving the Road to 21st Century Toxicology. Chem. Res. Toxicol. 29, 1225–1251. https://doi.org/10.1021/acs.chemrestox.6b00135</w:t>
      </w:r>
    </w:p>
    <w:p w14:paraId="00B5CF51" w14:textId="77777777" w:rsidR="00C1382E" w:rsidRDefault="00C1382E" w:rsidP="00C1382E">
      <w:pPr>
        <w:pStyle w:val="Bibliography"/>
      </w:pPr>
      <w:r>
        <w:t>Rong, Y., Bian, Y., Xu, T., Xie, W., Wei, Y., Huang, W., Huang, J., 2020. Self-Supervised Graph Transformer on Large-Scale Molecular Data. https://doi.org/10.48550/arXiv.2007.02835</w:t>
      </w:r>
    </w:p>
    <w:p w14:paraId="59DF107E" w14:textId="77777777" w:rsidR="00C1382E" w:rsidRDefault="00C1382E" w:rsidP="00C1382E">
      <w:pPr>
        <w:pStyle w:val="Bibliography"/>
      </w:pPr>
      <w:r>
        <w:t>Russell, W.M.S., Burch, R.L., n.d. The Principles of Humane Experimental Technique.</w:t>
      </w:r>
    </w:p>
    <w:p w14:paraId="5D88A935" w14:textId="77777777" w:rsidR="00C1382E" w:rsidRDefault="00C1382E" w:rsidP="00C1382E">
      <w:pPr>
        <w:pStyle w:val="Bibliography"/>
      </w:pPr>
      <w:r>
        <w:t>Sandve, G.K., Nekrutenko, A., Taylor, J., Hovig, E., 2013. Ten Simple Rules for Reproducible Computational Research. PLOS Comput. Biol. 9, e1003285. https://doi.org/10.1371/journal.pcbi.1003285</w:t>
      </w:r>
    </w:p>
    <w:p w14:paraId="5ED05016" w14:textId="77777777" w:rsidR="00C1382E" w:rsidRDefault="00C1382E" w:rsidP="00C1382E">
      <w:pPr>
        <w:pStyle w:val="Bibliography"/>
      </w:pPr>
      <w:r>
        <w:t>Schwöbel, J.A.H., Koleva, Y.K., Enoch, S.J., Bajot, F., Hewitt, M., Madden, J.C., Roberts, D.W., Schultz, T.W., Cronin, M.T.D., 2011. Measurement and Estimation of Electrophilic Reactivity for Predictive Toxicology. Chem. Rev. 111, 2562–2596. https://doi.org/10.1021/cr100098n</w:t>
      </w:r>
    </w:p>
    <w:p w14:paraId="789D432A" w14:textId="77777777" w:rsidR="00C1382E" w:rsidRDefault="00C1382E" w:rsidP="00C1382E">
      <w:pPr>
        <w:pStyle w:val="Bibliography"/>
      </w:pPr>
      <w:r>
        <w:t>Schymanski, E.L., Jeon, J., Gulde, R., Fenner, K., Ruff, M., Singer, H.P., Hollender, J., 2014. Identifying Small Molecules via High Resolution Mass Spectrometry: Communicating Confidence. Environ. Sci. Technol. 48, 2097–2098. https://doi.org/10.1021/es5002105</w:t>
      </w:r>
    </w:p>
    <w:p w14:paraId="4426A708" w14:textId="77777777" w:rsidR="00C1382E" w:rsidRDefault="00C1382E" w:rsidP="00C1382E">
      <w:pPr>
        <w:pStyle w:val="Bibliography"/>
      </w:pPr>
      <w:r>
        <w:t>Seinfeld, J.H., n.d. A Wiley Interscience Publication.</w:t>
      </w:r>
    </w:p>
    <w:p w14:paraId="19E2B2A7" w14:textId="77777777" w:rsidR="00C1382E" w:rsidRDefault="00C1382E" w:rsidP="00C1382E">
      <w:pPr>
        <w:pStyle w:val="Bibliography"/>
      </w:pPr>
      <w:r>
        <w:t>Seinfeld, J.H., Pandis, S.N., 2016. Atmospheric Chemistry and Physics: From Air Pollution to Climate Change. John Wiley &amp; Sons.</w:t>
      </w:r>
    </w:p>
    <w:p w14:paraId="28EC74DB" w14:textId="77777777" w:rsidR="00C1382E" w:rsidRDefault="00C1382E" w:rsidP="00C1382E">
      <w:pPr>
        <w:pStyle w:val="Bibliography"/>
      </w:pPr>
      <w:r>
        <w:t>Sheridan, R.P., Wang, W.M., Liaw, A., Ma, J., Gifford, E.M., 2016. Extreme Gradient Boosting as a Method for Quantitative Structure–Activity Relationships. J. Chem. Inf. Model. 56, 2353–2360. https://doi.org/10.1021/acs.jcim.6b00591</w:t>
      </w:r>
    </w:p>
    <w:p w14:paraId="124BB447" w14:textId="77777777" w:rsidR="00C1382E" w:rsidRDefault="00C1382E" w:rsidP="00C1382E">
      <w:pPr>
        <w:pStyle w:val="Bibliography"/>
      </w:pPr>
      <w:r>
        <w:t>Shrivastava, M., Cappa, C.D., Fan, J., Goldstein, A.H., Guenther, A.B., Jimenez, J.L., Kuang, C., Laskin, A., Martin, S.T., Ng, N.L., Petaja, T., Pierce, J.R., Rasch, P.J., Roldin, P., Seinfeld, J.H., Shilling, J., Smith, J.N., Thornton, J.A., Volkamer, R., Wang, J., Worsnop, D.R., Zaveri, R.A., Zelenyuk, A., Zhang, Q., 2017. Recent advances in understanding secondary organic aerosol: Implications for global climate forcing. Rev. Geophys. 55, 509–559. https://doi.org/10.1002/2016RG000540</w:t>
      </w:r>
    </w:p>
    <w:p w14:paraId="7D4FBC8A" w14:textId="77777777" w:rsidR="00C1382E" w:rsidRDefault="00C1382E" w:rsidP="00C1382E">
      <w:pPr>
        <w:pStyle w:val="Bibliography"/>
      </w:pPr>
      <w:r>
        <w:t>Sobus, J.R., Wambaugh, J.F., Isaacs, K.K., Williams, A.J., McEachran, A.D., Richard, A.M., Grulke, C.M., Ulrich, E.M., Rager, J.E., Strynar, M.J., Newton, S.R., 2018. Integrating tools for non-targeted analysis research and chemical safety evaluations at the US EPA. J. Expo. Sci. Environ. Epidemiol. 28, 411–426. https://doi.org/10.1038/s41370-017-0012-y</w:t>
      </w:r>
    </w:p>
    <w:p w14:paraId="7700F589" w14:textId="77777777" w:rsidR="00C1382E" w:rsidRDefault="00C1382E" w:rsidP="00C1382E">
      <w:pPr>
        <w:pStyle w:val="Bibliography"/>
      </w:pPr>
      <w:r>
        <w:t>Steinbeck, C., Han, Y., Kuhn, S., Horlacher, O., Luttmann, E., Willighagen, E., 2003. The Chemistry Development Kit (CDK):  An Open-Source Java Library for Chemo- and Bioinformatics. J. Chem. Inf. Comput. Sci. 43, 493–500. https://doi.org/10.1021/ci025584y</w:t>
      </w:r>
    </w:p>
    <w:p w14:paraId="7AD88F43" w14:textId="77777777" w:rsidR="00C1382E" w:rsidRDefault="00C1382E" w:rsidP="00C1382E">
      <w:pPr>
        <w:pStyle w:val="Bibliography"/>
      </w:pPr>
      <w:r>
        <w:t>Sugiyama, M., Jp, C.T.A., Krauledat, M., Krauledat, M., n.d. Covariate Shift Adaptation by Importance Weighted Cross Validation.</w:t>
      </w:r>
    </w:p>
    <w:p w14:paraId="60FCFF57" w14:textId="77777777" w:rsidR="00C1382E" w:rsidRDefault="00C1382E" w:rsidP="00C1382E">
      <w:pPr>
        <w:pStyle w:val="Bibliography"/>
      </w:pPr>
      <w:r>
        <w:t>Svetnik, V., Liaw, A., Tong, C., Culberson, J.C., Sheridan, R.P., Feuston, B.P., 2003. Random Forest: A Classification and Regression Tool for Compound Classification and QSAR Modeling. J. Chem. Inf. Comput. Sci. 43, 1947–1958. https://doi.org/10.1021/ci034160g</w:t>
      </w:r>
    </w:p>
    <w:p w14:paraId="64DC8C23" w14:textId="77777777" w:rsidR="00C1382E" w:rsidRDefault="00C1382E" w:rsidP="00C1382E">
      <w:pPr>
        <w:pStyle w:val="Bibliography"/>
      </w:pPr>
      <w:r>
        <w:lastRenderedPageBreak/>
        <w:t>Thangavel, P., Park, D., Lee, Y.-C., 2022. Recent Insights into Particulate Matter (PM2.5)-Mediated Toxicity in Humans: An Overview. Int. J. Environ. Res. Public. Health 19, 7511. https://doi.org/10.3390/ijerph19127511</w:t>
      </w:r>
    </w:p>
    <w:p w14:paraId="7BF90B41" w14:textId="77777777" w:rsidR="00C1382E" w:rsidRDefault="00C1382E" w:rsidP="00C1382E">
      <w:pPr>
        <w:pStyle w:val="Bibliography"/>
      </w:pPr>
      <w:r>
        <w:t>Thomas, R.S., Bahadori, T., Buckley, T.J., Cowden, J., Deisenroth, C., Dionisio, K.L., Frithsen, J.B., Grulke, C.M., Gwinn, M.R., Harrill, J.A., Higuchi, M., Houck, K.A., Hughes, M.F., Hunter, E.S., III, Isaacs, K.K., Judson, R.S., Knudsen, T.B., Lambert, J.C., Linnenbrink, M., Martin, T.M., Newton, S.R., Padilla, S., Patlewicz, G., Paul-Friedman, K., Phillips, K.A., Richard, A.M., Sams, R., Shafer, T.J., Setzer, R.W., Shah, I., Simmons, J.E., Simmons, S.O., Singh, A., Sobus, J.R., Strynar, M., Swank, A., Tornero-Valez, R., Ulrich, E.M., Villeneuve, D.L., Wambaugh, J.F., Wetmore, B.A., Williams, A.J., 2019. The Next Generation Blueprint of Computational Toxicology at the U.S. Environmental Protection Agency. Toxicol. Sci. 169, 317–332. https://doi.org/10.1093/toxsci/kfz058</w:t>
      </w:r>
    </w:p>
    <w:p w14:paraId="1C31B613" w14:textId="77777777" w:rsidR="00C1382E" w:rsidRDefault="00C1382E" w:rsidP="00C1382E">
      <w:pPr>
        <w:pStyle w:val="Bibliography"/>
      </w:pPr>
      <w:r>
        <w:t>Vousden, K.H., Lane, D.P., 2007. p53 in health and disease. Nat. Rev. Mol. Cell Biol. 8, 275–283. https://doi.org/10.1038/nrm2147</w:t>
      </w:r>
    </w:p>
    <w:p w14:paraId="3A22BB50" w14:textId="77777777" w:rsidR="00C1382E" w:rsidRDefault="00C1382E" w:rsidP="00C1382E">
      <w:pPr>
        <w:pStyle w:val="Bibliography"/>
      </w:pPr>
      <w:r>
        <w:t>Walter, M., 2022. Improving the Accuracy and Interpretability of Machine Learning Models for Toxicity Prediction (phd). University of Sheffield. https://doi.org/10/1/Walter_thesis_final_submission.pdf</w:t>
      </w:r>
    </w:p>
    <w:p w14:paraId="6178BFAE" w14:textId="77777777" w:rsidR="00C1382E" w:rsidRDefault="00C1382E" w:rsidP="00C1382E">
      <w:pPr>
        <w:pStyle w:val="Bibliography"/>
      </w:pPr>
      <w:r>
        <w:t>Wang, Y., Xiao, J., Suzek, T.O., Zhang, J., Wang, J., Bryant, S.H., 2009. PubChem: a public information system for analyzing bioactivities of small molecules. Nucleic Acids Res. 37, W623–W633. https://doi.org/10.1093/nar/gkp456</w:t>
      </w:r>
    </w:p>
    <w:p w14:paraId="705E6B52" w14:textId="77777777" w:rsidR="00C1382E" w:rsidRDefault="00C1382E" w:rsidP="00C1382E">
      <w:pPr>
        <w:pStyle w:val="Bibliography"/>
      </w:pPr>
      <w:r>
        <w:t>WHO, W., 2025. Particulate matters and its health impacts [WWW Document]. URL https://www.who.int/multi-media/details/particulate-matters-and-its-health-impacts (accessed 8.18.25).</w:t>
      </w:r>
    </w:p>
    <w:p w14:paraId="71482551" w14:textId="77777777" w:rsidR="00C1382E" w:rsidRDefault="00C1382E" w:rsidP="00C1382E">
      <w:pPr>
        <w:pStyle w:val="Bibliography"/>
      </w:pPr>
      <w:r>
        <w:t>WHO, W., 2023. Ambient (outdoor) air pollution [WWW Document]. URL https://www.who.int/news-room/fact-sheets/detail/ambient-(outdoor)-air-quality-and-health (accessed 7.28.25).</w:t>
      </w:r>
    </w:p>
    <w:p w14:paraId="77CC906E" w14:textId="77777777" w:rsidR="00C1382E" w:rsidRDefault="00C1382E" w:rsidP="00C1382E">
      <w:pPr>
        <w:pStyle w:val="Bibliography"/>
      </w:pPr>
      <w:r>
        <w:t>Wickham, H., n.d. A personal history of the tidyverse.</w:t>
      </w:r>
    </w:p>
    <w:p w14:paraId="7DCDBD79" w14:textId="77777777" w:rsidR="00C1382E" w:rsidRDefault="00C1382E" w:rsidP="00C1382E">
      <w:pPr>
        <w:pStyle w:val="Bibliography"/>
      </w:pPr>
      <w:r>
        <w:t>Wilkinson, M.D., Dumontier, M., Aalbersberg, Ij.J., Appleton, G., Axton, M., Baak, A., Blomberg, N., Boiten, J.-W., Bonino da Silva Santos, L., Bourne, P.E., Bouwman, J., Brookes, A.J., Clark, T., Crosas, M., Dillo, I., Dumon, O., Edmunds, S., Evelo, C.T., Finkers, R., Gonzalez-Beltran, A., Gray, A.J.G., Groth, P., Goble, C., Grethe, J.S., Heringa, J., ’t Hoen, P.A.C., Hooft, R., Kuhn, T., Kok, R., Kok, J., Lusher, S.J., Martone, M.E., Mons, A., Packer, A.L., Persson, B., Rocca-Serra, P., Roos, M., van Schaik, R., Sansone, S.-A., Schultes, E., Sengstag, T., Slater, T., Strawn, G., Swertz, M.A., Thompson, M., van der Lei, J., van Mulligen, E., Velterop, J., Waagmeester, A., Wittenburg, P., Wolstencroft, K., Zhao, J., Mons, B., 2016. The FAIR Guiding Principles for scientific data management and stewardship.</w:t>
      </w:r>
    </w:p>
    <w:p w14:paraId="58EAD25A" w14:textId="77777777" w:rsidR="00C1382E" w:rsidRDefault="00C1382E" w:rsidP="00C1382E">
      <w:pPr>
        <w:pStyle w:val="Bibliography"/>
      </w:pPr>
      <w:r>
        <w:t>Williams, A.J., Grulke, C.M., Edwards, J., McEachran, A.D., Mansouri, K., Baker, N.C., Patlewicz, G., Shah, I., Wambaugh, J.F., Judson, R.S., Richard, A.M., 2017. The CompTox Chemistry Dashboard: a community data resource for environmental chemistry. J. Cheminformatics 9, 61. https://doi.org/10.1186/s13321-017-0247-6</w:t>
      </w:r>
    </w:p>
    <w:p w14:paraId="4394A93A" w14:textId="77777777" w:rsidR="00C1382E" w:rsidRDefault="00C1382E" w:rsidP="00C1382E">
      <w:pPr>
        <w:pStyle w:val="Bibliography"/>
      </w:pPr>
      <w:r>
        <w:t>Witkowski, B., Gierczak, T., 2017. Characterization of the limonene oxidation products with liquid chromatography coupled to the tandem mass spectrometry. Atmos. Environ. 154, 297–307. https://doi.org/10.1016/j.atmosenv.2017.02.005</w:t>
      </w:r>
    </w:p>
    <w:p w14:paraId="392CEA71" w14:textId="77777777" w:rsidR="00C1382E" w:rsidRDefault="00C1382E" w:rsidP="00C1382E">
      <w:pPr>
        <w:pStyle w:val="Bibliography"/>
      </w:pPr>
      <w:r>
        <w:t>Wu, X., Zhou, Q., Mu, L., Hu, X., 2022. Machine learning in the identification, prediction and exploration of environmental toxicology: Challenges and perspectives. J. Hazard. Mater. 438, 129487. https://doi.org/10.1016/j.jhazmat.2022.129487</w:t>
      </w:r>
    </w:p>
    <w:p w14:paraId="0B2AB8C3" w14:textId="77777777" w:rsidR="00C1382E" w:rsidRDefault="00C1382E" w:rsidP="00C1382E">
      <w:pPr>
        <w:pStyle w:val="Bibliography"/>
      </w:pPr>
      <w:r>
        <w:t>Youden, W.J., 1950. Index for rating diagnostic tests. Cancer 3, 32–35. https://doi.org/10.1002/1097-0142(1950)3:1%253C32::AID-CNCR2820030106%253E3.0.CO;2-3</w:t>
      </w:r>
    </w:p>
    <w:p w14:paraId="00FEBDCD" w14:textId="77777777" w:rsidR="00C1382E" w:rsidRDefault="00C1382E" w:rsidP="00C1382E">
      <w:pPr>
        <w:pStyle w:val="Bibliography"/>
      </w:pPr>
      <w:r>
        <w:t>Yvan, S., 2007. (PDF) A review of feature selection techniques in bioinformatics. ResearchGate. https://doi.org/10.1093/bioinformatics/btm344</w:t>
      </w:r>
    </w:p>
    <w:p w14:paraId="47C41459" w14:textId="77777777" w:rsidR="00C1382E" w:rsidRDefault="00C1382E" w:rsidP="00C1382E">
      <w:pPr>
        <w:pStyle w:val="Bibliography"/>
      </w:pPr>
      <w:r>
        <w:lastRenderedPageBreak/>
        <w:t>Zeiger, E., 2019. The test that changed the world: The Ames test and the regulation of chemicals. Mutat. Res. Toxicol. Environ. Mutagen. 841, 43–48. https://doi.org/10.1016/j.mrgentox.2019.05.007</w:t>
      </w:r>
    </w:p>
    <w:p w14:paraId="484D80FC" w14:textId="77777777" w:rsidR="00C1382E" w:rsidRDefault="00C1382E" w:rsidP="00C1382E">
      <w:pPr>
        <w:pStyle w:val="Bibliography"/>
      </w:pPr>
      <w:r>
        <w:t>Zeron-Medina, J., Wang, X., Repapi, E., Campbell, M.R., Su, D., Castro-Giner, F., Davies, B., Peterse, E.F.P., Sacilotto, N., Walker, G.J., Terzian, T., Tomlinson, I.P., Box, N.F., Meinshausen, N., De Val, S., Bell, D.A., Bond, G.L., 2013. A Polymorphic p53 Response Element in KIT Ligand Influences Cancer Risk and Has Undergone Natural Selection. Cell 155, 410–422. https://doi.org/10.1016/j.cell.2013.09.017</w:t>
      </w:r>
    </w:p>
    <w:p w14:paraId="7347711A" w14:textId="2EC5BC68" w:rsidR="009F3870" w:rsidRPr="009F3870" w:rsidRDefault="00276C58" w:rsidP="009F3870">
      <w:r w:rsidRPr="00276C58">
        <w:rPr>
          <w:rFonts w:ascii="Times New Roman" w:hAnsi="Times New Roman" w:cs="Times New Roman"/>
          <w:sz w:val="24"/>
          <w:szCs w:val="24"/>
        </w:rPr>
        <w:fldChar w:fldCharType="end"/>
      </w:r>
    </w:p>
    <w:p w14:paraId="441A64F8" w14:textId="77777777" w:rsidR="00F9346A" w:rsidRDefault="00F9346A">
      <w:pPr>
        <w:rPr>
          <w:rFonts w:ascii="Times New Roman" w:hAnsi="Times New Roman" w:cs="Times New Roman"/>
          <w:b/>
          <w:sz w:val="28"/>
          <w:szCs w:val="28"/>
        </w:rPr>
      </w:pPr>
    </w:p>
    <w:p w14:paraId="78858710" w14:textId="77777777" w:rsidR="00F9346A" w:rsidRDefault="00F9346A">
      <w:pPr>
        <w:rPr>
          <w:rFonts w:ascii="Times New Roman" w:hAnsi="Times New Roman" w:cs="Times New Roman"/>
          <w:b/>
          <w:sz w:val="28"/>
          <w:szCs w:val="28"/>
        </w:rPr>
      </w:pPr>
    </w:p>
    <w:p w14:paraId="26EF7C57" w14:textId="77777777" w:rsidR="00F9346A" w:rsidRDefault="00F9346A">
      <w:pPr>
        <w:rPr>
          <w:rFonts w:ascii="Times New Roman" w:hAnsi="Times New Roman" w:cs="Times New Roman"/>
          <w:b/>
          <w:sz w:val="28"/>
          <w:szCs w:val="28"/>
        </w:rPr>
      </w:pPr>
    </w:p>
    <w:p w14:paraId="2D89F415" w14:textId="77777777" w:rsidR="00F9346A" w:rsidRDefault="00F9346A">
      <w:pPr>
        <w:rPr>
          <w:rFonts w:ascii="Times New Roman" w:hAnsi="Times New Roman" w:cs="Times New Roman"/>
          <w:b/>
          <w:sz w:val="28"/>
          <w:szCs w:val="28"/>
        </w:rPr>
      </w:pPr>
    </w:p>
    <w:p w14:paraId="73D30011" w14:textId="77777777" w:rsidR="00F9346A" w:rsidRDefault="00F9346A">
      <w:pPr>
        <w:rPr>
          <w:rFonts w:ascii="Times New Roman" w:hAnsi="Times New Roman" w:cs="Times New Roman"/>
          <w:b/>
          <w:sz w:val="28"/>
          <w:szCs w:val="28"/>
        </w:rPr>
      </w:pPr>
    </w:p>
    <w:p w14:paraId="76AFD17F" w14:textId="77777777" w:rsidR="00F9346A" w:rsidRDefault="00F9346A">
      <w:pPr>
        <w:rPr>
          <w:rFonts w:ascii="Times New Roman" w:hAnsi="Times New Roman" w:cs="Times New Roman"/>
          <w:b/>
          <w:sz w:val="28"/>
          <w:szCs w:val="28"/>
        </w:rPr>
      </w:pPr>
    </w:p>
    <w:p w14:paraId="21BB1989" w14:textId="77777777" w:rsidR="00F9346A" w:rsidRDefault="00F9346A">
      <w:pPr>
        <w:rPr>
          <w:rFonts w:ascii="Times New Roman" w:hAnsi="Times New Roman" w:cs="Times New Roman"/>
          <w:b/>
          <w:sz w:val="28"/>
          <w:szCs w:val="28"/>
        </w:rPr>
      </w:pPr>
    </w:p>
    <w:p w14:paraId="2D2BC5AF" w14:textId="77777777" w:rsidR="00F9346A" w:rsidRDefault="00F9346A">
      <w:pPr>
        <w:rPr>
          <w:rFonts w:ascii="Times New Roman" w:hAnsi="Times New Roman" w:cs="Times New Roman"/>
          <w:b/>
          <w:sz w:val="28"/>
          <w:szCs w:val="28"/>
        </w:rPr>
      </w:pPr>
    </w:p>
    <w:p w14:paraId="0648BB32" w14:textId="77777777" w:rsidR="00F9346A" w:rsidRDefault="00F9346A">
      <w:pPr>
        <w:rPr>
          <w:rFonts w:ascii="Times New Roman" w:hAnsi="Times New Roman" w:cs="Times New Roman"/>
          <w:b/>
          <w:sz w:val="28"/>
          <w:szCs w:val="28"/>
        </w:rPr>
      </w:pPr>
    </w:p>
    <w:p w14:paraId="15A64ADC" w14:textId="77777777" w:rsidR="00F9346A" w:rsidRDefault="00F9346A">
      <w:pPr>
        <w:rPr>
          <w:rFonts w:ascii="Times New Roman" w:hAnsi="Times New Roman" w:cs="Times New Roman"/>
          <w:b/>
          <w:sz w:val="28"/>
          <w:szCs w:val="28"/>
        </w:rPr>
      </w:pPr>
    </w:p>
    <w:p w14:paraId="3F1D2312" w14:textId="77777777" w:rsidR="00F9346A" w:rsidRDefault="00F9346A">
      <w:pPr>
        <w:rPr>
          <w:rFonts w:ascii="Times New Roman" w:hAnsi="Times New Roman" w:cs="Times New Roman"/>
          <w:b/>
          <w:sz w:val="28"/>
          <w:szCs w:val="28"/>
        </w:rPr>
      </w:pPr>
    </w:p>
    <w:p w14:paraId="6E58C9C0" w14:textId="77777777" w:rsidR="00F9346A" w:rsidRDefault="00F9346A">
      <w:pPr>
        <w:rPr>
          <w:rFonts w:ascii="Times New Roman" w:hAnsi="Times New Roman" w:cs="Times New Roman"/>
          <w:b/>
          <w:sz w:val="28"/>
          <w:szCs w:val="28"/>
        </w:rPr>
      </w:pPr>
    </w:p>
    <w:p w14:paraId="52ED8D70" w14:textId="77777777" w:rsidR="00F9346A" w:rsidRDefault="00F9346A">
      <w:pPr>
        <w:rPr>
          <w:rFonts w:ascii="Times New Roman" w:hAnsi="Times New Roman" w:cs="Times New Roman"/>
          <w:b/>
          <w:sz w:val="28"/>
          <w:szCs w:val="28"/>
        </w:rPr>
      </w:pPr>
    </w:p>
    <w:p w14:paraId="0F844E11" w14:textId="77777777" w:rsidR="00F9346A" w:rsidRDefault="00F9346A">
      <w:pPr>
        <w:rPr>
          <w:rFonts w:ascii="Times New Roman" w:hAnsi="Times New Roman" w:cs="Times New Roman"/>
          <w:b/>
          <w:sz w:val="28"/>
          <w:szCs w:val="28"/>
        </w:rPr>
      </w:pPr>
    </w:p>
    <w:p w14:paraId="41E874AF" w14:textId="77777777" w:rsidR="00F9346A" w:rsidRDefault="00F9346A">
      <w:pPr>
        <w:rPr>
          <w:rFonts w:ascii="Times New Roman" w:hAnsi="Times New Roman" w:cs="Times New Roman"/>
          <w:b/>
          <w:sz w:val="28"/>
          <w:szCs w:val="28"/>
        </w:rPr>
      </w:pPr>
    </w:p>
    <w:p w14:paraId="2EF9E72A" w14:textId="77777777" w:rsidR="00F9346A" w:rsidRDefault="00F9346A">
      <w:pPr>
        <w:rPr>
          <w:rFonts w:ascii="Times New Roman" w:hAnsi="Times New Roman" w:cs="Times New Roman"/>
          <w:b/>
          <w:sz w:val="28"/>
          <w:szCs w:val="28"/>
        </w:rPr>
      </w:pPr>
    </w:p>
    <w:p w14:paraId="7F678D3D" w14:textId="77777777" w:rsidR="00F9346A" w:rsidRDefault="00F9346A">
      <w:pPr>
        <w:rPr>
          <w:rFonts w:ascii="Times New Roman" w:hAnsi="Times New Roman" w:cs="Times New Roman"/>
          <w:b/>
          <w:sz w:val="28"/>
          <w:szCs w:val="28"/>
        </w:rPr>
      </w:pPr>
    </w:p>
    <w:p w14:paraId="698E4E69" w14:textId="77777777" w:rsidR="00F9346A" w:rsidRDefault="00F9346A">
      <w:pPr>
        <w:rPr>
          <w:rFonts w:ascii="Times New Roman" w:hAnsi="Times New Roman" w:cs="Times New Roman"/>
          <w:b/>
          <w:sz w:val="28"/>
          <w:szCs w:val="28"/>
        </w:rPr>
      </w:pPr>
    </w:p>
    <w:p w14:paraId="5745BA39" w14:textId="77777777" w:rsidR="00F9346A" w:rsidRDefault="00F9346A">
      <w:pPr>
        <w:rPr>
          <w:rFonts w:ascii="Times New Roman" w:hAnsi="Times New Roman" w:cs="Times New Roman"/>
          <w:b/>
          <w:sz w:val="28"/>
          <w:szCs w:val="28"/>
        </w:rPr>
      </w:pPr>
    </w:p>
    <w:p w14:paraId="6717B047" w14:textId="77777777" w:rsidR="00F9346A" w:rsidRDefault="00F9346A">
      <w:pPr>
        <w:rPr>
          <w:rFonts w:ascii="Times New Roman" w:hAnsi="Times New Roman" w:cs="Times New Roman"/>
          <w:b/>
          <w:sz w:val="28"/>
          <w:szCs w:val="28"/>
        </w:rPr>
      </w:pPr>
    </w:p>
    <w:p w14:paraId="2ED0057F" w14:textId="77777777" w:rsidR="00F9346A" w:rsidRDefault="00F9346A">
      <w:pPr>
        <w:rPr>
          <w:rFonts w:ascii="Times New Roman" w:hAnsi="Times New Roman" w:cs="Times New Roman"/>
          <w:b/>
          <w:sz w:val="28"/>
          <w:szCs w:val="28"/>
        </w:rPr>
      </w:pPr>
    </w:p>
    <w:p w14:paraId="412F129F" w14:textId="77777777" w:rsidR="00F9346A" w:rsidRDefault="00F9346A">
      <w:pPr>
        <w:rPr>
          <w:rFonts w:ascii="Times New Roman" w:hAnsi="Times New Roman" w:cs="Times New Roman"/>
          <w:b/>
          <w:sz w:val="28"/>
          <w:szCs w:val="28"/>
        </w:rPr>
      </w:pPr>
    </w:p>
    <w:p w14:paraId="5FB39391" w14:textId="7D6FB2E6" w:rsidR="00827938" w:rsidRPr="00F9346A" w:rsidRDefault="00827938">
      <w:pPr>
        <w:rPr>
          <w:rFonts w:ascii="Times New Roman" w:hAnsi="Times New Roman" w:cs="Times New Roman"/>
          <w:bCs/>
          <w:sz w:val="52"/>
          <w:szCs w:val="52"/>
        </w:rPr>
      </w:pPr>
      <w:r w:rsidRPr="00F9346A">
        <w:rPr>
          <w:rFonts w:ascii="Times New Roman" w:hAnsi="Times New Roman" w:cs="Times New Roman"/>
          <w:bCs/>
          <w:sz w:val="52"/>
          <w:szCs w:val="52"/>
        </w:rPr>
        <w:lastRenderedPageBreak/>
        <w:t>A</w:t>
      </w:r>
      <w:r w:rsidR="00731928" w:rsidRPr="00F9346A">
        <w:rPr>
          <w:rFonts w:ascii="Times New Roman" w:hAnsi="Times New Roman" w:cs="Times New Roman"/>
          <w:bCs/>
          <w:sz w:val="52"/>
          <w:szCs w:val="52"/>
        </w:rPr>
        <w:t>ppendix</w:t>
      </w:r>
    </w:p>
    <w:p w14:paraId="7115F18E" w14:textId="265483EE" w:rsidR="00830215" w:rsidRPr="00830215" w:rsidRDefault="008B55DA">
      <w:pPr>
        <w:rPr>
          <w:rFonts w:ascii="Times New Roman" w:hAnsi="Times New Roman" w:cs="Times New Roman"/>
          <w:b/>
          <w:sz w:val="24"/>
          <w:szCs w:val="24"/>
        </w:rPr>
      </w:pPr>
      <w:r>
        <w:rPr>
          <w:rFonts w:ascii="Times New Roman" w:hAnsi="Times New Roman" w:cs="Times New Roman"/>
          <w:b/>
          <w:sz w:val="24"/>
          <w:szCs w:val="24"/>
        </w:rPr>
        <w:t xml:space="preserve">Table1: </w:t>
      </w:r>
      <w:r w:rsidRPr="008B55DA">
        <w:rPr>
          <w:rFonts w:ascii="Times New Roman" w:hAnsi="Times New Roman" w:cs="Times New Roman"/>
          <w:b/>
          <w:sz w:val="24"/>
          <w:szCs w:val="24"/>
        </w:rPr>
        <w:t xml:space="preserve">Training results for </w:t>
      </w:r>
      <w:proofErr w:type="spellStart"/>
      <w:r w:rsidRPr="008B55DA">
        <w:rPr>
          <w:rFonts w:ascii="Times New Roman" w:hAnsi="Times New Roman" w:cs="Times New Roman"/>
          <w:b/>
          <w:sz w:val="24"/>
          <w:szCs w:val="24"/>
        </w:rPr>
        <w:t>XGBoost</w:t>
      </w:r>
      <w:proofErr w:type="spellEnd"/>
      <w:r w:rsidRPr="008B55DA">
        <w:rPr>
          <w:rFonts w:ascii="Times New Roman" w:hAnsi="Times New Roman" w:cs="Times New Roman"/>
          <w:b/>
          <w:sz w:val="24"/>
          <w:szCs w:val="24"/>
        </w:rPr>
        <w:t xml:space="preserve"> models with different hyperparameters (</w:t>
      </w:r>
      <w:proofErr w:type="spellStart"/>
      <w:r w:rsidRPr="008B55DA">
        <w:rPr>
          <w:rFonts w:ascii="Times New Roman" w:hAnsi="Times New Roman" w:cs="Times New Roman"/>
          <w:b/>
          <w:sz w:val="24"/>
          <w:szCs w:val="24"/>
        </w:rPr>
        <w:t>nrounds</w:t>
      </w:r>
      <w:proofErr w:type="spellEnd"/>
      <w:r w:rsidRPr="008B55DA">
        <w:rPr>
          <w:rFonts w:ascii="Times New Roman" w:hAnsi="Times New Roman" w:cs="Times New Roman"/>
          <w:b/>
          <w:sz w:val="24"/>
          <w:szCs w:val="24"/>
        </w:rPr>
        <w:t xml:space="preserve"> = 100, 200, 300).</w:t>
      </w:r>
    </w:p>
    <w:tbl>
      <w:tblPr>
        <w:tblStyle w:val="TableGrid"/>
        <w:tblW w:w="9073" w:type="dxa"/>
        <w:jc w:val="center"/>
        <w:tblLook w:val="04A0" w:firstRow="1" w:lastRow="0" w:firstColumn="1" w:lastColumn="0" w:noHBand="0" w:noVBand="1"/>
      </w:tblPr>
      <w:tblGrid>
        <w:gridCol w:w="2553"/>
        <w:gridCol w:w="2466"/>
        <w:gridCol w:w="2294"/>
        <w:gridCol w:w="1760"/>
      </w:tblGrid>
      <w:tr w:rsidR="00E4128B" w14:paraId="07C011DF" w14:textId="77777777" w:rsidTr="00E92930">
        <w:trPr>
          <w:trHeight w:val="384"/>
          <w:jc w:val="center"/>
        </w:trPr>
        <w:tc>
          <w:tcPr>
            <w:tcW w:w="2553" w:type="dxa"/>
          </w:tcPr>
          <w:p w14:paraId="5489F942" w14:textId="43D158C9" w:rsidR="00E4128B" w:rsidRDefault="00E4128B">
            <w:pPr>
              <w:rPr>
                <w:rFonts w:ascii="Times New Roman" w:hAnsi="Times New Roman" w:cs="Times New Roman"/>
                <w:b/>
                <w:sz w:val="24"/>
                <w:szCs w:val="24"/>
              </w:rPr>
            </w:pPr>
            <w:r>
              <w:rPr>
                <w:rFonts w:ascii="Times New Roman" w:hAnsi="Times New Roman" w:cs="Times New Roman"/>
                <w:b/>
                <w:sz w:val="24"/>
                <w:szCs w:val="24"/>
              </w:rPr>
              <w:t>Metric</w:t>
            </w:r>
          </w:p>
        </w:tc>
        <w:tc>
          <w:tcPr>
            <w:tcW w:w="2466" w:type="dxa"/>
          </w:tcPr>
          <w:p w14:paraId="4C2C2CF9" w14:textId="5DE80434"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n</w:t>
            </w:r>
            <w:r w:rsidR="00E4128B">
              <w:rPr>
                <w:rFonts w:ascii="Times New Roman" w:hAnsi="Times New Roman" w:cs="Times New Roman"/>
                <w:b/>
                <w:sz w:val="24"/>
                <w:szCs w:val="24"/>
              </w:rPr>
              <w:t>rounds</w:t>
            </w:r>
            <w:proofErr w:type="spellEnd"/>
            <w:r w:rsidR="00E4128B">
              <w:rPr>
                <w:rFonts w:ascii="Times New Roman" w:hAnsi="Times New Roman" w:cs="Times New Roman"/>
                <w:b/>
                <w:sz w:val="24"/>
                <w:szCs w:val="24"/>
              </w:rPr>
              <w:t xml:space="preserve"> = 100</w:t>
            </w:r>
          </w:p>
        </w:tc>
        <w:tc>
          <w:tcPr>
            <w:tcW w:w="2294" w:type="dxa"/>
          </w:tcPr>
          <w:p w14:paraId="55C617AF" w14:textId="35EF3927"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200</w:t>
            </w:r>
          </w:p>
        </w:tc>
        <w:tc>
          <w:tcPr>
            <w:tcW w:w="1760" w:type="dxa"/>
          </w:tcPr>
          <w:p w14:paraId="2B877C80" w14:textId="7FA45075"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300</w:t>
            </w:r>
          </w:p>
        </w:tc>
      </w:tr>
      <w:tr w:rsidR="00E4128B" w14:paraId="2E120DC9" w14:textId="77777777" w:rsidTr="00E92930">
        <w:trPr>
          <w:trHeight w:val="384"/>
          <w:jc w:val="center"/>
        </w:trPr>
        <w:tc>
          <w:tcPr>
            <w:tcW w:w="2553" w:type="dxa"/>
          </w:tcPr>
          <w:p w14:paraId="6E7A438B" w14:textId="3B235BC0" w:rsidR="00E4128B" w:rsidRDefault="00E4128B">
            <w:pPr>
              <w:rPr>
                <w:rFonts w:ascii="Times New Roman" w:hAnsi="Times New Roman" w:cs="Times New Roman"/>
                <w:b/>
                <w:sz w:val="24"/>
                <w:szCs w:val="24"/>
              </w:rPr>
            </w:pPr>
            <w:r>
              <w:rPr>
                <w:rFonts w:ascii="Times New Roman" w:hAnsi="Times New Roman" w:cs="Times New Roman"/>
                <w:b/>
                <w:sz w:val="24"/>
                <w:szCs w:val="24"/>
              </w:rPr>
              <w:t xml:space="preserve">Best </w:t>
            </w:r>
            <w:proofErr w:type="spellStart"/>
            <w:r>
              <w:rPr>
                <w:rFonts w:ascii="Times New Roman" w:hAnsi="Times New Roman" w:cs="Times New Roman"/>
                <w:b/>
                <w:sz w:val="24"/>
                <w:szCs w:val="24"/>
              </w:rPr>
              <w:t>max_dep</w:t>
            </w:r>
            <w:r w:rsidR="00C22198">
              <w:rPr>
                <w:rFonts w:ascii="Times New Roman" w:hAnsi="Times New Roman" w:cs="Times New Roman"/>
                <w:b/>
                <w:sz w:val="24"/>
                <w:szCs w:val="24"/>
              </w:rPr>
              <w:t>th</w:t>
            </w:r>
            <w:proofErr w:type="spellEnd"/>
          </w:p>
        </w:tc>
        <w:tc>
          <w:tcPr>
            <w:tcW w:w="2466" w:type="dxa"/>
          </w:tcPr>
          <w:p w14:paraId="637E19CA" w14:textId="5683B69B"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6</w:t>
            </w:r>
          </w:p>
        </w:tc>
        <w:tc>
          <w:tcPr>
            <w:tcW w:w="2294" w:type="dxa"/>
          </w:tcPr>
          <w:p w14:paraId="77B0429B" w14:textId="16013AB1"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c>
          <w:tcPr>
            <w:tcW w:w="1760" w:type="dxa"/>
          </w:tcPr>
          <w:p w14:paraId="3FF8278C" w14:textId="48355EB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r>
      <w:tr w:rsidR="00E4128B" w14:paraId="25904422" w14:textId="77777777" w:rsidTr="00E92930">
        <w:trPr>
          <w:trHeight w:val="368"/>
          <w:jc w:val="center"/>
        </w:trPr>
        <w:tc>
          <w:tcPr>
            <w:tcW w:w="2553" w:type="dxa"/>
          </w:tcPr>
          <w:p w14:paraId="05A7AF64" w14:textId="1CF64237" w:rsidR="00E4128B" w:rsidRDefault="00C22198">
            <w:pPr>
              <w:rPr>
                <w:rFonts w:ascii="Times New Roman" w:hAnsi="Times New Roman" w:cs="Times New Roman"/>
                <w:b/>
                <w:sz w:val="24"/>
                <w:szCs w:val="24"/>
              </w:rPr>
            </w:pPr>
            <w:r>
              <w:rPr>
                <w:rFonts w:ascii="Times New Roman" w:hAnsi="Times New Roman" w:cs="Times New Roman"/>
                <w:b/>
                <w:sz w:val="24"/>
                <w:szCs w:val="24"/>
              </w:rPr>
              <w:t>Best eta</w:t>
            </w:r>
          </w:p>
        </w:tc>
        <w:tc>
          <w:tcPr>
            <w:tcW w:w="2466" w:type="dxa"/>
          </w:tcPr>
          <w:p w14:paraId="0D003ADD" w14:textId="7ADA781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2294" w:type="dxa"/>
          </w:tcPr>
          <w:p w14:paraId="5CDEF837" w14:textId="157F0742"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1760" w:type="dxa"/>
          </w:tcPr>
          <w:p w14:paraId="70E53E34" w14:textId="6ED6CF7E"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w:t>
            </w:r>
            <w:r w:rsidR="00BE696B" w:rsidRPr="00FA2C7D">
              <w:rPr>
                <w:rFonts w:ascii="Times New Roman" w:hAnsi="Times New Roman" w:cs="Times New Roman"/>
                <w:bCs/>
                <w:sz w:val="24"/>
                <w:szCs w:val="24"/>
              </w:rPr>
              <w:t>.01</w:t>
            </w:r>
          </w:p>
        </w:tc>
      </w:tr>
      <w:tr w:rsidR="00E4128B" w14:paraId="75FB2025" w14:textId="77777777" w:rsidTr="00E92930">
        <w:trPr>
          <w:trHeight w:val="384"/>
          <w:jc w:val="center"/>
        </w:trPr>
        <w:tc>
          <w:tcPr>
            <w:tcW w:w="2553" w:type="dxa"/>
          </w:tcPr>
          <w:p w14:paraId="2A928DEA" w14:textId="45C3B0F8" w:rsidR="00E4128B" w:rsidRDefault="00BE696B">
            <w:pPr>
              <w:rPr>
                <w:rFonts w:ascii="Times New Roman" w:hAnsi="Times New Roman" w:cs="Times New Roman"/>
                <w:b/>
                <w:sz w:val="24"/>
                <w:szCs w:val="24"/>
              </w:rPr>
            </w:pPr>
            <w:r>
              <w:rPr>
                <w:rFonts w:ascii="Times New Roman" w:hAnsi="Times New Roman" w:cs="Times New Roman"/>
                <w:b/>
                <w:sz w:val="24"/>
                <w:szCs w:val="24"/>
              </w:rPr>
              <w:t>Best gamma</w:t>
            </w:r>
          </w:p>
        </w:tc>
        <w:tc>
          <w:tcPr>
            <w:tcW w:w="2466" w:type="dxa"/>
          </w:tcPr>
          <w:p w14:paraId="535B2160" w14:textId="7F68FFFE"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2294" w:type="dxa"/>
          </w:tcPr>
          <w:p w14:paraId="6A1C31C5" w14:textId="7A31B4AC"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1760" w:type="dxa"/>
          </w:tcPr>
          <w:p w14:paraId="56AE40DC" w14:textId="55F959FD"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E4128B" w14:paraId="60AB68F9" w14:textId="77777777" w:rsidTr="00E92930">
        <w:trPr>
          <w:trHeight w:val="384"/>
          <w:jc w:val="center"/>
        </w:trPr>
        <w:tc>
          <w:tcPr>
            <w:tcW w:w="2553" w:type="dxa"/>
          </w:tcPr>
          <w:p w14:paraId="3E0D1EAE" w14:textId="6103F780"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Colsample_bytree</w:t>
            </w:r>
            <w:proofErr w:type="spellEnd"/>
          </w:p>
        </w:tc>
        <w:tc>
          <w:tcPr>
            <w:tcW w:w="2466" w:type="dxa"/>
          </w:tcPr>
          <w:p w14:paraId="185EE124" w14:textId="058923B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0AEFD316" w14:textId="1D473D1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2D819E87" w14:textId="3FD8AA6E"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1A81198A" w14:textId="77777777" w:rsidTr="00E92930">
        <w:trPr>
          <w:trHeight w:val="384"/>
          <w:jc w:val="center"/>
        </w:trPr>
        <w:tc>
          <w:tcPr>
            <w:tcW w:w="2553" w:type="dxa"/>
          </w:tcPr>
          <w:p w14:paraId="2AE700AF" w14:textId="0C627DBF"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min_child_weight</w:t>
            </w:r>
            <w:proofErr w:type="spellEnd"/>
          </w:p>
        </w:tc>
        <w:tc>
          <w:tcPr>
            <w:tcW w:w="2466" w:type="dxa"/>
          </w:tcPr>
          <w:p w14:paraId="7B120673" w14:textId="397EB9A7"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2294" w:type="dxa"/>
          </w:tcPr>
          <w:p w14:paraId="7D8E518D" w14:textId="4DA512C6"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1760" w:type="dxa"/>
          </w:tcPr>
          <w:p w14:paraId="57DB7E17" w14:textId="50CE02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E4128B" w14:paraId="7758221F" w14:textId="77777777" w:rsidTr="00E92930">
        <w:trPr>
          <w:trHeight w:val="384"/>
          <w:jc w:val="center"/>
        </w:trPr>
        <w:tc>
          <w:tcPr>
            <w:tcW w:w="2553" w:type="dxa"/>
          </w:tcPr>
          <w:p w14:paraId="65BD8D29" w14:textId="570F38AB" w:rsidR="00E4128B" w:rsidRDefault="00017A75">
            <w:pPr>
              <w:rPr>
                <w:rFonts w:ascii="Times New Roman" w:hAnsi="Times New Roman" w:cs="Times New Roman"/>
                <w:b/>
                <w:sz w:val="24"/>
                <w:szCs w:val="24"/>
              </w:rPr>
            </w:pPr>
            <w:r>
              <w:rPr>
                <w:rFonts w:ascii="Times New Roman" w:hAnsi="Times New Roman" w:cs="Times New Roman"/>
                <w:b/>
                <w:sz w:val="24"/>
                <w:szCs w:val="24"/>
              </w:rPr>
              <w:t>subsample</w:t>
            </w:r>
          </w:p>
        </w:tc>
        <w:tc>
          <w:tcPr>
            <w:tcW w:w="2466" w:type="dxa"/>
          </w:tcPr>
          <w:p w14:paraId="33DD496B" w14:textId="4B4F50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4B565A73" w14:textId="2BDCA17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4AD8B9AE" w14:textId="6E49B66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507D9A26" w14:textId="77777777" w:rsidTr="00E92930">
        <w:trPr>
          <w:trHeight w:val="384"/>
          <w:jc w:val="center"/>
        </w:trPr>
        <w:tc>
          <w:tcPr>
            <w:tcW w:w="2553" w:type="dxa"/>
          </w:tcPr>
          <w:p w14:paraId="0B21FE45" w14:textId="7825513D" w:rsidR="00E4128B" w:rsidRDefault="00017A75">
            <w:pPr>
              <w:rPr>
                <w:rFonts w:ascii="Times New Roman" w:hAnsi="Times New Roman" w:cs="Times New Roman"/>
                <w:b/>
                <w:sz w:val="24"/>
                <w:szCs w:val="24"/>
              </w:rPr>
            </w:pPr>
            <w:r>
              <w:rPr>
                <w:rFonts w:ascii="Times New Roman" w:hAnsi="Times New Roman" w:cs="Times New Roman"/>
                <w:b/>
                <w:sz w:val="24"/>
                <w:szCs w:val="24"/>
              </w:rPr>
              <w:t>Accuracy</w:t>
            </w:r>
          </w:p>
        </w:tc>
        <w:tc>
          <w:tcPr>
            <w:tcW w:w="2466" w:type="dxa"/>
          </w:tcPr>
          <w:p w14:paraId="32244C0C" w14:textId="2C0A91CD"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79.02%</w:t>
            </w:r>
          </w:p>
        </w:tc>
        <w:tc>
          <w:tcPr>
            <w:tcW w:w="2294" w:type="dxa"/>
          </w:tcPr>
          <w:p w14:paraId="35863DEE" w14:textId="1DDD6F63"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64.34</w:t>
            </w:r>
            <w:r w:rsidR="009B24EB" w:rsidRPr="00FA2C7D">
              <w:rPr>
                <w:rFonts w:ascii="Times New Roman" w:hAnsi="Times New Roman" w:cs="Times New Roman"/>
                <w:bCs/>
                <w:sz w:val="24"/>
                <w:szCs w:val="24"/>
              </w:rPr>
              <w:t>%</w:t>
            </w:r>
          </w:p>
        </w:tc>
        <w:tc>
          <w:tcPr>
            <w:tcW w:w="1760" w:type="dxa"/>
          </w:tcPr>
          <w:p w14:paraId="7A029791" w14:textId="1BE9958A"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66.43%</w:t>
            </w:r>
          </w:p>
        </w:tc>
      </w:tr>
      <w:tr w:rsidR="00E4128B" w14:paraId="16F0ABC2" w14:textId="77777777" w:rsidTr="00E92930">
        <w:trPr>
          <w:trHeight w:val="368"/>
          <w:jc w:val="center"/>
        </w:trPr>
        <w:tc>
          <w:tcPr>
            <w:tcW w:w="2553" w:type="dxa"/>
          </w:tcPr>
          <w:p w14:paraId="7D8F8309" w14:textId="20A67CBA" w:rsidR="00E4128B" w:rsidRDefault="00A80675">
            <w:pPr>
              <w:rPr>
                <w:rFonts w:ascii="Times New Roman" w:hAnsi="Times New Roman" w:cs="Times New Roman"/>
                <w:b/>
                <w:sz w:val="24"/>
                <w:szCs w:val="24"/>
              </w:rPr>
            </w:pPr>
            <w:r>
              <w:rPr>
                <w:rFonts w:ascii="Times New Roman" w:hAnsi="Times New Roman" w:cs="Times New Roman"/>
                <w:b/>
                <w:sz w:val="24"/>
                <w:szCs w:val="24"/>
              </w:rPr>
              <w:t>Sensitivity (</w:t>
            </w:r>
            <w:r w:rsidR="009B24EB">
              <w:rPr>
                <w:rFonts w:ascii="Times New Roman" w:hAnsi="Times New Roman" w:cs="Times New Roman"/>
                <w:b/>
                <w:sz w:val="24"/>
                <w:szCs w:val="24"/>
              </w:rPr>
              <w:t>Recall)</w:t>
            </w:r>
          </w:p>
        </w:tc>
        <w:tc>
          <w:tcPr>
            <w:tcW w:w="2466" w:type="dxa"/>
          </w:tcPr>
          <w:p w14:paraId="05A2EB4E" w14:textId="5A819081"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66.67%</w:t>
            </w:r>
          </w:p>
        </w:tc>
        <w:tc>
          <w:tcPr>
            <w:tcW w:w="2294" w:type="dxa"/>
          </w:tcPr>
          <w:p w14:paraId="5629CCB4" w14:textId="4A615F06"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87.50%</w:t>
            </w:r>
          </w:p>
        </w:tc>
        <w:tc>
          <w:tcPr>
            <w:tcW w:w="1760" w:type="dxa"/>
          </w:tcPr>
          <w:p w14:paraId="1C9EE62A" w14:textId="008A60B8"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83.33%</w:t>
            </w:r>
          </w:p>
        </w:tc>
      </w:tr>
      <w:tr w:rsidR="00E4128B" w14:paraId="3A96420F" w14:textId="77777777" w:rsidTr="00E92930">
        <w:trPr>
          <w:trHeight w:val="384"/>
          <w:jc w:val="center"/>
        </w:trPr>
        <w:tc>
          <w:tcPr>
            <w:tcW w:w="2553" w:type="dxa"/>
          </w:tcPr>
          <w:p w14:paraId="29F9E46E" w14:textId="78019678" w:rsidR="00E4128B" w:rsidRDefault="00A80675">
            <w:pPr>
              <w:rPr>
                <w:rFonts w:ascii="Times New Roman" w:hAnsi="Times New Roman" w:cs="Times New Roman"/>
                <w:b/>
                <w:sz w:val="24"/>
                <w:szCs w:val="24"/>
              </w:rPr>
            </w:pPr>
            <w:r>
              <w:rPr>
                <w:rFonts w:ascii="Times New Roman" w:hAnsi="Times New Roman" w:cs="Times New Roman"/>
                <w:b/>
                <w:sz w:val="24"/>
                <w:szCs w:val="24"/>
              </w:rPr>
              <w:t>Specific</w:t>
            </w:r>
            <w:r w:rsidR="00DB313D">
              <w:rPr>
                <w:rFonts w:ascii="Times New Roman" w:hAnsi="Times New Roman" w:cs="Times New Roman"/>
                <w:b/>
                <w:sz w:val="24"/>
                <w:szCs w:val="24"/>
              </w:rPr>
              <w:t>ity</w:t>
            </w:r>
          </w:p>
        </w:tc>
        <w:tc>
          <w:tcPr>
            <w:tcW w:w="2466" w:type="dxa"/>
          </w:tcPr>
          <w:p w14:paraId="72BD1737" w14:textId="4C660784"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81.51%</w:t>
            </w:r>
          </w:p>
        </w:tc>
        <w:tc>
          <w:tcPr>
            <w:tcW w:w="2294" w:type="dxa"/>
          </w:tcPr>
          <w:p w14:paraId="5B308F37" w14:textId="7331BF0C"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59.66%</w:t>
            </w:r>
          </w:p>
        </w:tc>
        <w:tc>
          <w:tcPr>
            <w:tcW w:w="1760" w:type="dxa"/>
          </w:tcPr>
          <w:p w14:paraId="70F32318" w14:textId="412D3A51" w:rsidR="003E2BC6"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63.03%</w:t>
            </w:r>
          </w:p>
        </w:tc>
      </w:tr>
      <w:tr w:rsidR="00E4128B" w14:paraId="76F89788" w14:textId="77777777" w:rsidTr="00E92930">
        <w:trPr>
          <w:trHeight w:val="384"/>
          <w:jc w:val="center"/>
        </w:trPr>
        <w:tc>
          <w:tcPr>
            <w:tcW w:w="2553" w:type="dxa"/>
          </w:tcPr>
          <w:p w14:paraId="31711A7C" w14:textId="04416E8C" w:rsidR="00E4128B" w:rsidRDefault="003E2BC6">
            <w:pPr>
              <w:rPr>
                <w:rFonts w:ascii="Times New Roman" w:hAnsi="Times New Roman" w:cs="Times New Roman"/>
                <w:b/>
                <w:sz w:val="24"/>
                <w:szCs w:val="24"/>
              </w:rPr>
            </w:pPr>
            <w:r>
              <w:rPr>
                <w:rFonts w:ascii="Times New Roman" w:hAnsi="Times New Roman" w:cs="Times New Roman"/>
                <w:b/>
                <w:sz w:val="24"/>
                <w:szCs w:val="24"/>
              </w:rPr>
              <w:t>Precision (PPV)</w:t>
            </w:r>
          </w:p>
        </w:tc>
        <w:tc>
          <w:tcPr>
            <w:tcW w:w="2466" w:type="dxa"/>
          </w:tcPr>
          <w:p w14:paraId="5B11C323" w14:textId="0CFF80AF"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42.11%</w:t>
            </w:r>
          </w:p>
        </w:tc>
        <w:tc>
          <w:tcPr>
            <w:tcW w:w="2294" w:type="dxa"/>
          </w:tcPr>
          <w:p w14:paraId="5378097A" w14:textId="35A318CD"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30.43%</w:t>
            </w:r>
          </w:p>
        </w:tc>
        <w:tc>
          <w:tcPr>
            <w:tcW w:w="1760" w:type="dxa"/>
          </w:tcPr>
          <w:p w14:paraId="3F107F83" w14:textId="67D2F362" w:rsidR="00E4128B" w:rsidRPr="00FA2C7D" w:rsidRDefault="00A91B35">
            <w:pPr>
              <w:rPr>
                <w:rFonts w:ascii="Times New Roman" w:hAnsi="Times New Roman" w:cs="Times New Roman"/>
                <w:bCs/>
                <w:sz w:val="24"/>
                <w:szCs w:val="24"/>
              </w:rPr>
            </w:pPr>
            <w:r w:rsidRPr="00FA2C7D">
              <w:rPr>
                <w:rFonts w:ascii="Times New Roman" w:hAnsi="Times New Roman" w:cs="Times New Roman"/>
                <w:bCs/>
                <w:sz w:val="24"/>
                <w:szCs w:val="24"/>
              </w:rPr>
              <w:t>31.25%</w:t>
            </w:r>
          </w:p>
        </w:tc>
      </w:tr>
      <w:tr w:rsidR="00E4128B" w14:paraId="347BFDEE" w14:textId="77777777" w:rsidTr="00E92930">
        <w:trPr>
          <w:trHeight w:val="769"/>
          <w:jc w:val="center"/>
        </w:trPr>
        <w:tc>
          <w:tcPr>
            <w:tcW w:w="2553" w:type="dxa"/>
          </w:tcPr>
          <w:p w14:paraId="39DA3F88" w14:textId="54E22C9F" w:rsidR="00E4128B" w:rsidRDefault="00A91B35">
            <w:pPr>
              <w:rPr>
                <w:rFonts w:ascii="Times New Roman" w:hAnsi="Times New Roman" w:cs="Times New Roman"/>
                <w:b/>
                <w:sz w:val="24"/>
                <w:szCs w:val="24"/>
              </w:rPr>
            </w:pPr>
            <w:r>
              <w:rPr>
                <w:rFonts w:ascii="Times New Roman" w:hAnsi="Times New Roman" w:cs="Times New Roman"/>
                <w:b/>
                <w:sz w:val="24"/>
                <w:szCs w:val="24"/>
              </w:rPr>
              <w:t>Negative Predictive Value (NPV)</w:t>
            </w:r>
          </w:p>
        </w:tc>
        <w:tc>
          <w:tcPr>
            <w:tcW w:w="2466" w:type="dxa"/>
          </w:tcPr>
          <w:p w14:paraId="04C41974" w14:textId="1DA27B32"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92.38%</w:t>
            </w:r>
          </w:p>
        </w:tc>
        <w:tc>
          <w:tcPr>
            <w:tcW w:w="2294" w:type="dxa"/>
          </w:tcPr>
          <w:p w14:paraId="721130D5" w14:textId="1616929A"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95.95%</w:t>
            </w:r>
          </w:p>
        </w:tc>
        <w:tc>
          <w:tcPr>
            <w:tcW w:w="1760" w:type="dxa"/>
          </w:tcPr>
          <w:p w14:paraId="188B5657" w14:textId="008E8434"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94.94%</w:t>
            </w:r>
          </w:p>
        </w:tc>
      </w:tr>
      <w:tr w:rsidR="00E4128B" w14:paraId="3CFAC1E4" w14:textId="77777777" w:rsidTr="00E92930">
        <w:trPr>
          <w:trHeight w:val="384"/>
          <w:jc w:val="center"/>
        </w:trPr>
        <w:tc>
          <w:tcPr>
            <w:tcW w:w="2553" w:type="dxa"/>
          </w:tcPr>
          <w:p w14:paraId="13C96164" w14:textId="5B7C5412" w:rsidR="00E4128B" w:rsidRDefault="00D2721A">
            <w:pPr>
              <w:rPr>
                <w:rFonts w:ascii="Times New Roman" w:hAnsi="Times New Roman" w:cs="Times New Roman"/>
                <w:b/>
                <w:sz w:val="24"/>
                <w:szCs w:val="24"/>
              </w:rPr>
            </w:pPr>
            <w:r>
              <w:rPr>
                <w:rFonts w:ascii="Times New Roman" w:hAnsi="Times New Roman" w:cs="Times New Roman"/>
                <w:b/>
                <w:sz w:val="24"/>
                <w:szCs w:val="24"/>
              </w:rPr>
              <w:t>Balanced Accuracy</w:t>
            </w:r>
          </w:p>
        </w:tc>
        <w:tc>
          <w:tcPr>
            <w:tcW w:w="2466" w:type="dxa"/>
          </w:tcPr>
          <w:p w14:paraId="2FA9E935" w14:textId="5534EE64"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74.09%</w:t>
            </w:r>
          </w:p>
        </w:tc>
        <w:tc>
          <w:tcPr>
            <w:tcW w:w="2294" w:type="dxa"/>
          </w:tcPr>
          <w:p w14:paraId="246472B8" w14:textId="21D7E93D"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73.58%</w:t>
            </w:r>
          </w:p>
        </w:tc>
        <w:tc>
          <w:tcPr>
            <w:tcW w:w="1760" w:type="dxa"/>
          </w:tcPr>
          <w:p w14:paraId="3C91B5DD" w14:textId="5F6F5082"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w:t>
            </w:r>
            <w:r w:rsidR="00B567D3" w:rsidRPr="00FA2C7D">
              <w:rPr>
                <w:rFonts w:ascii="Times New Roman" w:hAnsi="Times New Roman" w:cs="Times New Roman"/>
                <w:bCs/>
                <w:sz w:val="24"/>
                <w:szCs w:val="24"/>
              </w:rPr>
              <w:t>18%</w:t>
            </w:r>
          </w:p>
        </w:tc>
      </w:tr>
      <w:tr w:rsidR="00E4128B" w14:paraId="58791F69" w14:textId="77777777" w:rsidTr="00E92930">
        <w:trPr>
          <w:trHeight w:val="384"/>
          <w:jc w:val="center"/>
        </w:trPr>
        <w:tc>
          <w:tcPr>
            <w:tcW w:w="2553" w:type="dxa"/>
          </w:tcPr>
          <w:p w14:paraId="7AED232A" w14:textId="5E4060C6" w:rsidR="00E4128B" w:rsidRDefault="00B567D3">
            <w:pPr>
              <w:rPr>
                <w:rFonts w:ascii="Times New Roman" w:hAnsi="Times New Roman" w:cs="Times New Roman"/>
                <w:b/>
                <w:sz w:val="24"/>
                <w:szCs w:val="24"/>
              </w:rPr>
            </w:pPr>
            <w:r>
              <w:rPr>
                <w:rFonts w:ascii="Times New Roman" w:hAnsi="Times New Roman" w:cs="Times New Roman"/>
                <w:b/>
                <w:sz w:val="24"/>
                <w:szCs w:val="24"/>
              </w:rPr>
              <w:t>Kappa</w:t>
            </w:r>
          </w:p>
        </w:tc>
        <w:tc>
          <w:tcPr>
            <w:tcW w:w="2466" w:type="dxa"/>
          </w:tcPr>
          <w:p w14:paraId="766AEC34" w14:textId="4AE99DB1"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0.3908</w:t>
            </w:r>
          </w:p>
        </w:tc>
        <w:tc>
          <w:tcPr>
            <w:tcW w:w="2294" w:type="dxa"/>
          </w:tcPr>
          <w:p w14:paraId="7EF48118" w14:textId="6CFDA00E"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0.2698</w:t>
            </w:r>
          </w:p>
        </w:tc>
        <w:tc>
          <w:tcPr>
            <w:tcW w:w="1760" w:type="dxa"/>
          </w:tcPr>
          <w:p w14:paraId="05097FD1" w14:textId="173897A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0.2784</w:t>
            </w:r>
          </w:p>
        </w:tc>
      </w:tr>
      <w:tr w:rsidR="00E4128B" w14:paraId="6C44A396" w14:textId="77777777" w:rsidTr="00E92930">
        <w:trPr>
          <w:trHeight w:val="368"/>
          <w:jc w:val="center"/>
        </w:trPr>
        <w:tc>
          <w:tcPr>
            <w:tcW w:w="2553" w:type="dxa"/>
          </w:tcPr>
          <w:p w14:paraId="39B6D89C" w14:textId="43FEEB7A" w:rsidR="00E4128B" w:rsidRDefault="00B567D3">
            <w:pPr>
              <w:rPr>
                <w:rFonts w:ascii="Times New Roman" w:hAnsi="Times New Roman" w:cs="Times New Roman"/>
                <w:b/>
                <w:sz w:val="24"/>
                <w:szCs w:val="24"/>
              </w:rPr>
            </w:pPr>
            <w:r>
              <w:rPr>
                <w:rFonts w:ascii="Times New Roman" w:hAnsi="Times New Roman" w:cs="Times New Roman"/>
                <w:b/>
                <w:sz w:val="24"/>
                <w:szCs w:val="24"/>
              </w:rPr>
              <w:t>True Positive</w:t>
            </w:r>
            <w:r w:rsidR="00CE5E5E">
              <w:rPr>
                <w:rFonts w:ascii="Times New Roman" w:hAnsi="Times New Roman" w:cs="Times New Roman"/>
                <w:b/>
                <w:sz w:val="24"/>
                <w:szCs w:val="24"/>
              </w:rPr>
              <w:t>s</w:t>
            </w:r>
            <w:r>
              <w:rPr>
                <w:rFonts w:ascii="Times New Roman" w:hAnsi="Times New Roman" w:cs="Times New Roman"/>
                <w:b/>
                <w:sz w:val="24"/>
                <w:szCs w:val="24"/>
              </w:rPr>
              <w:t xml:space="preserve"> (TP)</w:t>
            </w:r>
          </w:p>
        </w:tc>
        <w:tc>
          <w:tcPr>
            <w:tcW w:w="2466" w:type="dxa"/>
          </w:tcPr>
          <w:p w14:paraId="36A0ADDE" w14:textId="6C6B848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16</w:t>
            </w:r>
          </w:p>
        </w:tc>
        <w:tc>
          <w:tcPr>
            <w:tcW w:w="2294" w:type="dxa"/>
          </w:tcPr>
          <w:p w14:paraId="4D3AE548" w14:textId="0BB3BF9C"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21</w:t>
            </w:r>
          </w:p>
        </w:tc>
        <w:tc>
          <w:tcPr>
            <w:tcW w:w="1760" w:type="dxa"/>
          </w:tcPr>
          <w:p w14:paraId="677AC782" w14:textId="1C39DD29"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20</w:t>
            </w:r>
          </w:p>
        </w:tc>
      </w:tr>
      <w:tr w:rsidR="00E4128B" w14:paraId="6911508D" w14:textId="77777777" w:rsidTr="00E92930">
        <w:trPr>
          <w:trHeight w:val="384"/>
          <w:jc w:val="center"/>
        </w:trPr>
        <w:tc>
          <w:tcPr>
            <w:tcW w:w="2553" w:type="dxa"/>
          </w:tcPr>
          <w:p w14:paraId="204497C6" w14:textId="5BBFA560" w:rsidR="00E4128B" w:rsidRDefault="00CE5E5E">
            <w:pPr>
              <w:rPr>
                <w:rFonts w:ascii="Times New Roman" w:hAnsi="Times New Roman" w:cs="Times New Roman"/>
                <w:b/>
                <w:sz w:val="24"/>
                <w:szCs w:val="24"/>
              </w:rPr>
            </w:pPr>
            <w:r>
              <w:rPr>
                <w:rFonts w:ascii="Times New Roman" w:hAnsi="Times New Roman" w:cs="Times New Roman"/>
                <w:b/>
                <w:sz w:val="24"/>
                <w:szCs w:val="24"/>
              </w:rPr>
              <w:t>False Positives (FP)</w:t>
            </w:r>
          </w:p>
        </w:tc>
        <w:tc>
          <w:tcPr>
            <w:tcW w:w="2466" w:type="dxa"/>
          </w:tcPr>
          <w:p w14:paraId="027F3829" w14:textId="2482E603"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22</w:t>
            </w:r>
          </w:p>
        </w:tc>
        <w:tc>
          <w:tcPr>
            <w:tcW w:w="2294" w:type="dxa"/>
          </w:tcPr>
          <w:p w14:paraId="659A3D55" w14:textId="4C19253A"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48</w:t>
            </w:r>
          </w:p>
        </w:tc>
        <w:tc>
          <w:tcPr>
            <w:tcW w:w="1760" w:type="dxa"/>
          </w:tcPr>
          <w:p w14:paraId="692FC7CF" w14:textId="0E1DFBE0"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44</w:t>
            </w:r>
          </w:p>
        </w:tc>
      </w:tr>
      <w:tr w:rsidR="00E4128B" w14:paraId="37434DEA" w14:textId="77777777" w:rsidTr="00E92930">
        <w:trPr>
          <w:trHeight w:val="384"/>
          <w:jc w:val="center"/>
        </w:trPr>
        <w:tc>
          <w:tcPr>
            <w:tcW w:w="2553" w:type="dxa"/>
          </w:tcPr>
          <w:p w14:paraId="584C10D4" w14:textId="77713670" w:rsidR="00E4128B" w:rsidRDefault="00CE5E5E">
            <w:pPr>
              <w:rPr>
                <w:rFonts w:ascii="Times New Roman" w:hAnsi="Times New Roman" w:cs="Times New Roman"/>
                <w:b/>
                <w:sz w:val="24"/>
                <w:szCs w:val="24"/>
              </w:rPr>
            </w:pPr>
            <w:r>
              <w:rPr>
                <w:rFonts w:ascii="Times New Roman" w:hAnsi="Times New Roman" w:cs="Times New Roman"/>
                <w:b/>
                <w:sz w:val="24"/>
                <w:szCs w:val="24"/>
              </w:rPr>
              <w:t>False Negatives (FN)</w:t>
            </w:r>
          </w:p>
        </w:tc>
        <w:tc>
          <w:tcPr>
            <w:tcW w:w="2466" w:type="dxa"/>
          </w:tcPr>
          <w:p w14:paraId="792E8C86" w14:textId="4CD027CF"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8</w:t>
            </w:r>
          </w:p>
        </w:tc>
        <w:tc>
          <w:tcPr>
            <w:tcW w:w="2294" w:type="dxa"/>
          </w:tcPr>
          <w:p w14:paraId="09D1E605" w14:textId="689401DE"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3</w:t>
            </w:r>
          </w:p>
        </w:tc>
        <w:tc>
          <w:tcPr>
            <w:tcW w:w="1760" w:type="dxa"/>
          </w:tcPr>
          <w:p w14:paraId="547212AD" w14:textId="1118A168"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4</w:t>
            </w:r>
          </w:p>
        </w:tc>
      </w:tr>
      <w:tr w:rsidR="00E4128B" w14:paraId="06C73C68" w14:textId="77777777" w:rsidTr="00E92930">
        <w:trPr>
          <w:trHeight w:val="384"/>
          <w:jc w:val="center"/>
        </w:trPr>
        <w:tc>
          <w:tcPr>
            <w:tcW w:w="2553" w:type="dxa"/>
          </w:tcPr>
          <w:p w14:paraId="2C10E665" w14:textId="59DA0B22" w:rsidR="00E4128B" w:rsidRDefault="00E92930">
            <w:pPr>
              <w:rPr>
                <w:rFonts w:ascii="Times New Roman" w:hAnsi="Times New Roman" w:cs="Times New Roman"/>
                <w:b/>
                <w:sz w:val="24"/>
                <w:szCs w:val="24"/>
              </w:rPr>
            </w:pPr>
            <w:r>
              <w:rPr>
                <w:rFonts w:ascii="Times New Roman" w:hAnsi="Times New Roman" w:cs="Times New Roman"/>
                <w:b/>
                <w:sz w:val="24"/>
                <w:szCs w:val="24"/>
              </w:rPr>
              <w:t>True Negatives (TN)</w:t>
            </w:r>
          </w:p>
        </w:tc>
        <w:tc>
          <w:tcPr>
            <w:tcW w:w="2466" w:type="dxa"/>
          </w:tcPr>
          <w:p w14:paraId="1F63891C" w14:textId="55FC14CA"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97</w:t>
            </w:r>
          </w:p>
        </w:tc>
        <w:tc>
          <w:tcPr>
            <w:tcW w:w="2294" w:type="dxa"/>
          </w:tcPr>
          <w:p w14:paraId="488FB789" w14:textId="6D704C31"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71</w:t>
            </w:r>
          </w:p>
        </w:tc>
        <w:tc>
          <w:tcPr>
            <w:tcW w:w="1760" w:type="dxa"/>
          </w:tcPr>
          <w:p w14:paraId="4C80DDBB" w14:textId="7C8FA126"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75</w:t>
            </w:r>
          </w:p>
        </w:tc>
      </w:tr>
    </w:tbl>
    <w:p w14:paraId="5E771C26" w14:textId="77777777" w:rsidR="008001FD" w:rsidRDefault="008001FD">
      <w:pPr>
        <w:rPr>
          <w:rFonts w:ascii="Times New Roman" w:hAnsi="Times New Roman" w:cs="Times New Roman"/>
          <w:b/>
          <w:sz w:val="24"/>
          <w:szCs w:val="24"/>
        </w:rPr>
      </w:pPr>
    </w:p>
    <w:p w14:paraId="4B2E5E63" w14:textId="1A622354" w:rsidR="00830215" w:rsidRDefault="00830215">
      <w:pPr>
        <w:rPr>
          <w:rFonts w:ascii="Times New Roman" w:hAnsi="Times New Roman" w:cs="Times New Roman"/>
          <w:bCs/>
          <w:sz w:val="24"/>
          <w:szCs w:val="24"/>
        </w:rPr>
      </w:pPr>
      <w:r w:rsidRPr="00830215">
        <w:rPr>
          <w:rFonts w:ascii="Times New Roman" w:hAnsi="Times New Roman" w:cs="Times New Roman"/>
          <w:bCs/>
          <w:sz w:val="24"/>
          <w:szCs w:val="24"/>
        </w:rPr>
        <w:t xml:space="preserve">I chose </w:t>
      </w:r>
      <w:proofErr w:type="spellStart"/>
      <w:r w:rsidRPr="00830215">
        <w:rPr>
          <w:rFonts w:ascii="Times New Roman" w:hAnsi="Times New Roman" w:cs="Times New Roman"/>
          <w:bCs/>
          <w:sz w:val="24"/>
          <w:szCs w:val="24"/>
        </w:rPr>
        <w:t>nrounds</w:t>
      </w:r>
      <w:proofErr w:type="spellEnd"/>
      <w:r w:rsidRPr="00830215">
        <w:rPr>
          <w:rFonts w:ascii="Times New Roman" w:hAnsi="Times New Roman" w:cs="Times New Roman"/>
          <w:bCs/>
          <w:sz w:val="24"/>
          <w:szCs w:val="24"/>
        </w:rPr>
        <w:t xml:space="preserve"> = 100 because, for this prediction task, it provided the strongest overall training metrics by best balancing sensitivity correctly flagging carcinogens and specificity preventing false alarms about harmless chemicals while capturing signal without overfitting (unlike 200–300 rounds, which increased false positives).</w:t>
      </w:r>
    </w:p>
    <w:p w14:paraId="0FF9DD43" w14:textId="6EEBB980" w:rsidR="003101AE" w:rsidRDefault="008B55DA">
      <w:pPr>
        <w:rPr>
          <w:rFonts w:ascii="Times New Roman" w:hAnsi="Times New Roman" w:cs="Times New Roman"/>
          <w:b/>
          <w:sz w:val="24"/>
          <w:szCs w:val="24"/>
        </w:rPr>
      </w:pPr>
      <w:r w:rsidRPr="00966476">
        <w:rPr>
          <w:rFonts w:ascii="Times New Roman" w:hAnsi="Times New Roman" w:cs="Times New Roman"/>
          <w:b/>
          <w:sz w:val="24"/>
          <w:szCs w:val="24"/>
        </w:rPr>
        <w:t>Table2</w:t>
      </w:r>
      <w:r w:rsidR="004F2C70">
        <w:rPr>
          <w:rFonts w:ascii="Times New Roman" w:hAnsi="Times New Roman" w:cs="Times New Roman"/>
          <w:b/>
          <w:sz w:val="24"/>
          <w:szCs w:val="24"/>
        </w:rPr>
        <w:t>:</w:t>
      </w:r>
      <w:r w:rsidR="004831C1">
        <w:rPr>
          <w:rFonts w:ascii="Times New Roman" w:hAnsi="Times New Roman" w:cs="Times New Roman"/>
          <w:b/>
          <w:sz w:val="24"/>
          <w:szCs w:val="24"/>
        </w:rPr>
        <w:t xml:space="preserve"> </w:t>
      </w:r>
      <w:r w:rsidR="004831C1" w:rsidRPr="004831C1">
        <w:rPr>
          <w:rFonts w:ascii="Times New Roman" w:hAnsi="Times New Roman" w:cs="Times New Roman"/>
          <w:b/>
          <w:sz w:val="24"/>
          <w:szCs w:val="24"/>
        </w:rPr>
        <w:t xml:space="preserve">Final </w:t>
      </w:r>
      <w:proofErr w:type="spellStart"/>
      <w:r w:rsidR="004831C1" w:rsidRPr="004831C1">
        <w:rPr>
          <w:rFonts w:ascii="Times New Roman" w:hAnsi="Times New Roman" w:cs="Times New Roman"/>
          <w:b/>
          <w:sz w:val="24"/>
          <w:szCs w:val="24"/>
        </w:rPr>
        <w:t>XGBoost</w:t>
      </w:r>
      <w:proofErr w:type="spellEnd"/>
      <w:r w:rsidR="004831C1" w:rsidRPr="004831C1">
        <w:rPr>
          <w:rFonts w:ascii="Times New Roman" w:hAnsi="Times New Roman" w:cs="Times New Roman"/>
          <w:b/>
          <w:sz w:val="24"/>
          <w:szCs w:val="24"/>
        </w:rPr>
        <w:t xml:space="preserve"> (trained on </w:t>
      </w:r>
      <w:r w:rsidR="00E6316B">
        <w:rPr>
          <w:rFonts w:ascii="Times New Roman" w:hAnsi="Times New Roman" w:cs="Times New Roman"/>
          <w:b/>
          <w:sz w:val="24"/>
          <w:szCs w:val="24"/>
        </w:rPr>
        <w:t>full</w:t>
      </w:r>
      <w:r w:rsidR="004831C1" w:rsidRPr="004831C1">
        <w:rPr>
          <w:rFonts w:ascii="Times New Roman" w:hAnsi="Times New Roman" w:cs="Times New Roman"/>
          <w:b/>
          <w:sz w:val="24"/>
          <w:szCs w:val="24"/>
        </w:rPr>
        <w:t xml:space="preserve"> data)</w:t>
      </w:r>
    </w:p>
    <w:tbl>
      <w:tblPr>
        <w:tblStyle w:val="TableGrid"/>
        <w:tblW w:w="0" w:type="auto"/>
        <w:tblLook w:val="04A0" w:firstRow="1" w:lastRow="0" w:firstColumn="1" w:lastColumn="0" w:noHBand="0" w:noVBand="1"/>
      </w:tblPr>
      <w:tblGrid>
        <w:gridCol w:w="2821"/>
        <w:gridCol w:w="2821"/>
        <w:gridCol w:w="2822"/>
      </w:tblGrid>
      <w:tr w:rsidR="00CA5A21" w:rsidRPr="00CA5A21" w14:paraId="04A673BB" w14:textId="77777777" w:rsidTr="003101AE">
        <w:trPr>
          <w:trHeight w:val="343"/>
        </w:trPr>
        <w:tc>
          <w:tcPr>
            <w:tcW w:w="2821" w:type="dxa"/>
          </w:tcPr>
          <w:p w14:paraId="10C779E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Section</w:t>
            </w:r>
          </w:p>
        </w:tc>
        <w:tc>
          <w:tcPr>
            <w:tcW w:w="2821" w:type="dxa"/>
          </w:tcPr>
          <w:p w14:paraId="4F9BF68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Metric</w:t>
            </w:r>
          </w:p>
        </w:tc>
        <w:tc>
          <w:tcPr>
            <w:tcW w:w="2822" w:type="dxa"/>
          </w:tcPr>
          <w:p w14:paraId="2D4D2C3A"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Value</w:t>
            </w:r>
          </w:p>
        </w:tc>
      </w:tr>
      <w:tr w:rsidR="00CA5A21" w:rsidRPr="00CA5A21" w14:paraId="7558DEEB" w14:textId="77777777" w:rsidTr="003101AE">
        <w:trPr>
          <w:trHeight w:val="343"/>
        </w:trPr>
        <w:tc>
          <w:tcPr>
            <w:tcW w:w="2821" w:type="dxa"/>
          </w:tcPr>
          <w:p w14:paraId="00B28B6E"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Hyperparameters</w:t>
            </w:r>
          </w:p>
        </w:tc>
        <w:tc>
          <w:tcPr>
            <w:tcW w:w="2821" w:type="dxa"/>
          </w:tcPr>
          <w:p w14:paraId="5C9B9ACE"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nrounds</w:t>
            </w:r>
            <w:proofErr w:type="spellEnd"/>
          </w:p>
        </w:tc>
        <w:tc>
          <w:tcPr>
            <w:tcW w:w="2822" w:type="dxa"/>
          </w:tcPr>
          <w:p w14:paraId="588EB23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100</w:t>
            </w:r>
          </w:p>
        </w:tc>
      </w:tr>
      <w:tr w:rsidR="00CA5A21" w:rsidRPr="00CA5A21" w14:paraId="021F69F0" w14:textId="77777777" w:rsidTr="003101AE">
        <w:trPr>
          <w:trHeight w:val="328"/>
        </w:trPr>
        <w:tc>
          <w:tcPr>
            <w:tcW w:w="2821" w:type="dxa"/>
          </w:tcPr>
          <w:p w14:paraId="6D6CDAE0" w14:textId="77777777" w:rsidR="00CA5A21" w:rsidRPr="00CA5A21" w:rsidRDefault="00CA5A21" w:rsidP="00A42BCC">
            <w:pPr>
              <w:rPr>
                <w:rFonts w:ascii="Times New Roman" w:hAnsi="Times New Roman" w:cs="Times New Roman"/>
                <w:b/>
                <w:sz w:val="24"/>
                <w:szCs w:val="24"/>
              </w:rPr>
            </w:pPr>
          </w:p>
        </w:tc>
        <w:tc>
          <w:tcPr>
            <w:tcW w:w="2821" w:type="dxa"/>
          </w:tcPr>
          <w:p w14:paraId="0415A6CF"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max_depth</w:t>
            </w:r>
            <w:proofErr w:type="spellEnd"/>
          </w:p>
        </w:tc>
        <w:tc>
          <w:tcPr>
            <w:tcW w:w="2822" w:type="dxa"/>
          </w:tcPr>
          <w:p w14:paraId="4DAD082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w:t>
            </w:r>
          </w:p>
        </w:tc>
      </w:tr>
      <w:tr w:rsidR="00CA5A21" w:rsidRPr="00CA5A21" w14:paraId="79778593" w14:textId="77777777" w:rsidTr="003101AE">
        <w:trPr>
          <w:trHeight w:val="343"/>
        </w:trPr>
        <w:tc>
          <w:tcPr>
            <w:tcW w:w="2821" w:type="dxa"/>
          </w:tcPr>
          <w:p w14:paraId="0A2FC986" w14:textId="77777777" w:rsidR="00CA5A21" w:rsidRPr="00CA5A21" w:rsidRDefault="00CA5A21" w:rsidP="00A42BCC">
            <w:pPr>
              <w:rPr>
                <w:rFonts w:ascii="Times New Roman" w:hAnsi="Times New Roman" w:cs="Times New Roman"/>
                <w:b/>
                <w:sz w:val="24"/>
                <w:szCs w:val="24"/>
              </w:rPr>
            </w:pPr>
          </w:p>
        </w:tc>
        <w:tc>
          <w:tcPr>
            <w:tcW w:w="2821" w:type="dxa"/>
          </w:tcPr>
          <w:p w14:paraId="6652C9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eta</w:t>
            </w:r>
          </w:p>
        </w:tc>
        <w:tc>
          <w:tcPr>
            <w:tcW w:w="2822" w:type="dxa"/>
          </w:tcPr>
          <w:p w14:paraId="10F7475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0.01</w:t>
            </w:r>
          </w:p>
        </w:tc>
      </w:tr>
      <w:tr w:rsidR="00CA5A21" w:rsidRPr="00CA5A21" w14:paraId="7C084BAD" w14:textId="77777777" w:rsidTr="003101AE">
        <w:trPr>
          <w:trHeight w:val="343"/>
        </w:trPr>
        <w:tc>
          <w:tcPr>
            <w:tcW w:w="2821" w:type="dxa"/>
          </w:tcPr>
          <w:p w14:paraId="794C5D79" w14:textId="77777777" w:rsidR="00CA5A21" w:rsidRPr="00CA5A21" w:rsidRDefault="00CA5A21" w:rsidP="00A42BCC">
            <w:pPr>
              <w:rPr>
                <w:rFonts w:ascii="Times New Roman" w:hAnsi="Times New Roman" w:cs="Times New Roman"/>
                <w:b/>
                <w:sz w:val="24"/>
                <w:szCs w:val="24"/>
              </w:rPr>
            </w:pPr>
          </w:p>
        </w:tc>
        <w:tc>
          <w:tcPr>
            <w:tcW w:w="2821" w:type="dxa"/>
          </w:tcPr>
          <w:p w14:paraId="01AADB9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gamma</w:t>
            </w:r>
          </w:p>
        </w:tc>
        <w:tc>
          <w:tcPr>
            <w:tcW w:w="2822" w:type="dxa"/>
          </w:tcPr>
          <w:p w14:paraId="12B6708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CA5A21" w:rsidRPr="00CA5A21" w14:paraId="48F0A047" w14:textId="77777777" w:rsidTr="003101AE">
        <w:trPr>
          <w:trHeight w:val="343"/>
        </w:trPr>
        <w:tc>
          <w:tcPr>
            <w:tcW w:w="2821" w:type="dxa"/>
          </w:tcPr>
          <w:p w14:paraId="654C321E" w14:textId="77777777" w:rsidR="00CA5A21" w:rsidRPr="00CA5A21" w:rsidRDefault="00CA5A21" w:rsidP="00A42BCC">
            <w:pPr>
              <w:rPr>
                <w:rFonts w:ascii="Times New Roman" w:hAnsi="Times New Roman" w:cs="Times New Roman"/>
                <w:b/>
                <w:sz w:val="24"/>
                <w:szCs w:val="24"/>
              </w:rPr>
            </w:pPr>
          </w:p>
        </w:tc>
        <w:tc>
          <w:tcPr>
            <w:tcW w:w="2821" w:type="dxa"/>
          </w:tcPr>
          <w:p w14:paraId="372B95EC"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colsample_bytree</w:t>
            </w:r>
            <w:proofErr w:type="spellEnd"/>
          </w:p>
        </w:tc>
        <w:tc>
          <w:tcPr>
            <w:tcW w:w="2822" w:type="dxa"/>
          </w:tcPr>
          <w:p w14:paraId="1E233D3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063D843F" w14:textId="77777777" w:rsidTr="003101AE">
        <w:trPr>
          <w:trHeight w:val="343"/>
        </w:trPr>
        <w:tc>
          <w:tcPr>
            <w:tcW w:w="2821" w:type="dxa"/>
          </w:tcPr>
          <w:p w14:paraId="5241A533" w14:textId="77777777" w:rsidR="00CA5A21" w:rsidRPr="00CA5A21" w:rsidRDefault="00CA5A21" w:rsidP="00A42BCC">
            <w:pPr>
              <w:rPr>
                <w:rFonts w:ascii="Times New Roman" w:hAnsi="Times New Roman" w:cs="Times New Roman"/>
                <w:b/>
                <w:sz w:val="24"/>
                <w:szCs w:val="24"/>
              </w:rPr>
            </w:pPr>
          </w:p>
        </w:tc>
        <w:tc>
          <w:tcPr>
            <w:tcW w:w="2821" w:type="dxa"/>
          </w:tcPr>
          <w:p w14:paraId="3B6B7476"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min_child_weight</w:t>
            </w:r>
            <w:proofErr w:type="spellEnd"/>
          </w:p>
        </w:tc>
        <w:tc>
          <w:tcPr>
            <w:tcW w:w="2822" w:type="dxa"/>
          </w:tcPr>
          <w:p w14:paraId="245FB20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CA5A21" w:rsidRPr="00CA5A21" w14:paraId="39265E6E" w14:textId="77777777" w:rsidTr="003101AE">
        <w:trPr>
          <w:trHeight w:val="343"/>
        </w:trPr>
        <w:tc>
          <w:tcPr>
            <w:tcW w:w="2821" w:type="dxa"/>
          </w:tcPr>
          <w:p w14:paraId="0107263A" w14:textId="77777777" w:rsidR="00CA5A21" w:rsidRPr="00CA5A21" w:rsidRDefault="00CA5A21" w:rsidP="00A42BCC">
            <w:pPr>
              <w:rPr>
                <w:rFonts w:ascii="Times New Roman" w:hAnsi="Times New Roman" w:cs="Times New Roman"/>
                <w:b/>
                <w:sz w:val="24"/>
                <w:szCs w:val="24"/>
              </w:rPr>
            </w:pPr>
          </w:p>
        </w:tc>
        <w:tc>
          <w:tcPr>
            <w:tcW w:w="2821" w:type="dxa"/>
          </w:tcPr>
          <w:p w14:paraId="0A5241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subsample</w:t>
            </w:r>
          </w:p>
        </w:tc>
        <w:tc>
          <w:tcPr>
            <w:tcW w:w="2822" w:type="dxa"/>
          </w:tcPr>
          <w:p w14:paraId="10A8DCA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342BC501" w14:textId="77777777" w:rsidTr="003101AE">
        <w:trPr>
          <w:trHeight w:val="688"/>
        </w:trPr>
        <w:tc>
          <w:tcPr>
            <w:tcW w:w="2821" w:type="dxa"/>
          </w:tcPr>
          <w:p w14:paraId="10017D0A" w14:textId="63AA50FD"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Performance </w:t>
            </w:r>
          </w:p>
        </w:tc>
        <w:tc>
          <w:tcPr>
            <w:tcW w:w="2821" w:type="dxa"/>
          </w:tcPr>
          <w:p w14:paraId="2426A6F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Optimal ROC threshold (Youden’s J)</w:t>
            </w:r>
          </w:p>
        </w:tc>
        <w:tc>
          <w:tcPr>
            <w:tcW w:w="2822" w:type="dxa"/>
          </w:tcPr>
          <w:p w14:paraId="79E07D1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0.4805</w:t>
            </w:r>
          </w:p>
        </w:tc>
      </w:tr>
      <w:tr w:rsidR="00CA5A21" w:rsidRPr="00CA5A21" w14:paraId="3A547DC8" w14:textId="77777777" w:rsidTr="003101AE">
        <w:trPr>
          <w:trHeight w:val="328"/>
        </w:trPr>
        <w:tc>
          <w:tcPr>
            <w:tcW w:w="2821" w:type="dxa"/>
          </w:tcPr>
          <w:p w14:paraId="0E3195B4" w14:textId="77777777" w:rsidR="00CA5A21" w:rsidRPr="00CA5A21" w:rsidRDefault="00CA5A21" w:rsidP="00A42BCC">
            <w:pPr>
              <w:rPr>
                <w:rFonts w:ascii="Times New Roman" w:hAnsi="Times New Roman" w:cs="Times New Roman"/>
                <w:b/>
                <w:sz w:val="24"/>
                <w:szCs w:val="24"/>
              </w:rPr>
            </w:pPr>
          </w:p>
        </w:tc>
        <w:tc>
          <w:tcPr>
            <w:tcW w:w="2821" w:type="dxa"/>
          </w:tcPr>
          <w:p w14:paraId="1F48C1C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Accuracy</w:t>
            </w:r>
          </w:p>
        </w:tc>
        <w:tc>
          <w:tcPr>
            <w:tcW w:w="2822" w:type="dxa"/>
          </w:tcPr>
          <w:p w14:paraId="453FC42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90.25%</w:t>
            </w:r>
          </w:p>
        </w:tc>
      </w:tr>
      <w:tr w:rsidR="00CA5A21" w:rsidRPr="00CA5A21" w14:paraId="557CAA0F" w14:textId="77777777" w:rsidTr="003101AE">
        <w:trPr>
          <w:trHeight w:val="343"/>
        </w:trPr>
        <w:tc>
          <w:tcPr>
            <w:tcW w:w="2821" w:type="dxa"/>
          </w:tcPr>
          <w:p w14:paraId="566A404A" w14:textId="77777777" w:rsidR="00CA5A21" w:rsidRPr="00CA5A21" w:rsidRDefault="00CA5A21" w:rsidP="00A42BCC">
            <w:pPr>
              <w:rPr>
                <w:rFonts w:ascii="Times New Roman" w:hAnsi="Times New Roman" w:cs="Times New Roman"/>
                <w:b/>
                <w:sz w:val="24"/>
                <w:szCs w:val="24"/>
              </w:rPr>
            </w:pPr>
          </w:p>
        </w:tc>
        <w:tc>
          <w:tcPr>
            <w:tcW w:w="2821" w:type="dxa"/>
          </w:tcPr>
          <w:p w14:paraId="453140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95% CI for Accuracy</w:t>
            </w:r>
          </w:p>
        </w:tc>
        <w:tc>
          <w:tcPr>
            <w:tcW w:w="2822" w:type="dxa"/>
          </w:tcPr>
          <w:p w14:paraId="0D857F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87.84% – 92.32%</w:t>
            </w:r>
          </w:p>
        </w:tc>
      </w:tr>
      <w:tr w:rsidR="00CA5A21" w:rsidRPr="00CA5A21" w14:paraId="136E7AE8" w14:textId="77777777" w:rsidTr="003101AE">
        <w:trPr>
          <w:trHeight w:val="343"/>
        </w:trPr>
        <w:tc>
          <w:tcPr>
            <w:tcW w:w="2821" w:type="dxa"/>
          </w:tcPr>
          <w:p w14:paraId="2A94D200" w14:textId="77777777" w:rsidR="00CA5A21" w:rsidRPr="00CA5A21" w:rsidRDefault="00CA5A21" w:rsidP="00A42BCC">
            <w:pPr>
              <w:rPr>
                <w:rFonts w:ascii="Times New Roman" w:hAnsi="Times New Roman" w:cs="Times New Roman"/>
                <w:b/>
                <w:sz w:val="24"/>
                <w:szCs w:val="24"/>
              </w:rPr>
            </w:pPr>
          </w:p>
        </w:tc>
        <w:tc>
          <w:tcPr>
            <w:tcW w:w="2821" w:type="dxa"/>
          </w:tcPr>
          <w:p w14:paraId="2A4907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Kappa</w:t>
            </w:r>
          </w:p>
        </w:tc>
        <w:tc>
          <w:tcPr>
            <w:tcW w:w="2822" w:type="dxa"/>
          </w:tcPr>
          <w:p w14:paraId="4EB511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0.7131</w:t>
            </w:r>
          </w:p>
        </w:tc>
      </w:tr>
      <w:tr w:rsidR="00CA5A21" w:rsidRPr="00CA5A21" w14:paraId="6B3A3E02" w14:textId="77777777" w:rsidTr="003101AE">
        <w:trPr>
          <w:trHeight w:val="343"/>
        </w:trPr>
        <w:tc>
          <w:tcPr>
            <w:tcW w:w="2821" w:type="dxa"/>
          </w:tcPr>
          <w:p w14:paraId="106DCA5C" w14:textId="77777777" w:rsidR="00CA5A21" w:rsidRPr="00CA5A21" w:rsidRDefault="00CA5A21" w:rsidP="00A42BCC">
            <w:pPr>
              <w:rPr>
                <w:rFonts w:ascii="Times New Roman" w:hAnsi="Times New Roman" w:cs="Times New Roman"/>
                <w:b/>
                <w:sz w:val="24"/>
                <w:szCs w:val="24"/>
              </w:rPr>
            </w:pPr>
          </w:p>
        </w:tc>
        <w:tc>
          <w:tcPr>
            <w:tcW w:w="2821" w:type="dxa"/>
          </w:tcPr>
          <w:p w14:paraId="5EF8E81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Sensitivity (Recall)</w:t>
            </w:r>
          </w:p>
        </w:tc>
        <w:tc>
          <w:tcPr>
            <w:tcW w:w="2822" w:type="dxa"/>
          </w:tcPr>
          <w:p w14:paraId="0DED7F5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93.70%</w:t>
            </w:r>
          </w:p>
        </w:tc>
      </w:tr>
      <w:tr w:rsidR="00CA5A21" w:rsidRPr="00CA5A21" w14:paraId="4DF86998" w14:textId="77777777" w:rsidTr="003101AE">
        <w:trPr>
          <w:trHeight w:val="343"/>
        </w:trPr>
        <w:tc>
          <w:tcPr>
            <w:tcW w:w="2821" w:type="dxa"/>
          </w:tcPr>
          <w:p w14:paraId="3469CF09" w14:textId="77777777" w:rsidR="00CA5A21" w:rsidRPr="00CA5A21" w:rsidRDefault="00CA5A21" w:rsidP="00A42BCC">
            <w:pPr>
              <w:rPr>
                <w:rFonts w:ascii="Times New Roman" w:hAnsi="Times New Roman" w:cs="Times New Roman"/>
                <w:b/>
                <w:sz w:val="24"/>
                <w:szCs w:val="24"/>
              </w:rPr>
            </w:pPr>
          </w:p>
        </w:tc>
        <w:tc>
          <w:tcPr>
            <w:tcW w:w="2821" w:type="dxa"/>
          </w:tcPr>
          <w:p w14:paraId="5A384CE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Specificity</w:t>
            </w:r>
          </w:p>
        </w:tc>
        <w:tc>
          <w:tcPr>
            <w:tcW w:w="2822" w:type="dxa"/>
          </w:tcPr>
          <w:p w14:paraId="3CEC3D4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89.51%</w:t>
            </w:r>
          </w:p>
        </w:tc>
      </w:tr>
      <w:tr w:rsidR="00CA5A21" w:rsidRPr="00CA5A21" w14:paraId="1F9B8D16" w14:textId="77777777" w:rsidTr="003101AE">
        <w:trPr>
          <w:trHeight w:val="343"/>
        </w:trPr>
        <w:tc>
          <w:tcPr>
            <w:tcW w:w="2821" w:type="dxa"/>
          </w:tcPr>
          <w:p w14:paraId="4DF7D604" w14:textId="77777777" w:rsidR="00CA5A21" w:rsidRPr="00CA5A21" w:rsidRDefault="00CA5A21" w:rsidP="00A42BCC">
            <w:pPr>
              <w:rPr>
                <w:rFonts w:ascii="Times New Roman" w:hAnsi="Times New Roman" w:cs="Times New Roman"/>
                <w:b/>
                <w:sz w:val="24"/>
                <w:szCs w:val="24"/>
              </w:rPr>
            </w:pPr>
          </w:p>
        </w:tc>
        <w:tc>
          <w:tcPr>
            <w:tcW w:w="2821" w:type="dxa"/>
          </w:tcPr>
          <w:p w14:paraId="37DA439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Precision (PPV)</w:t>
            </w:r>
          </w:p>
        </w:tc>
        <w:tc>
          <w:tcPr>
            <w:tcW w:w="2822" w:type="dxa"/>
          </w:tcPr>
          <w:p w14:paraId="4B5F3C5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65.75%</w:t>
            </w:r>
          </w:p>
        </w:tc>
      </w:tr>
      <w:tr w:rsidR="00CA5A21" w:rsidRPr="00CA5A21" w14:paraId="17ECEE43" w14:textId="77777777" w:rsidTr="003101AE">
        <w:trPr>
          <w:trHeight w:val="673"/>
        </w:trPr>
        <w:tc>
          <w:tcPr>
            <w:tcW w:w="2821" w:type="dxa"/>
          </w:tcPr>
          <w:p w14:paraId="2D803B8B" w14:textId="77777777" w:rsidR="00CA5A21" w:rsidRPr="00CA5A21" w:rsidRDefault="00CA5A21" w:rsidP="00A42BCC">
            <w:pPr>
              <w:rPr>
                <w:rFonts w:ascii="Times New Roman" w:hAnsi="Times New Roman" w:cs="Times New Roman"/>
                <w:b/>
                <w:sz w:val="24"/>
                <w:szCs w:val="24"/>
              </w:rPr>
            </w:pPr>
          </w:p>
        </w:tc>
        <w:tc>
          <w:tcPr>
            <w:tcW w:w="2821" w:type="dxa"/>
          </w:tcPr>
          <w:p w14:paraId="2B78FFF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Negative Predictive Value (NPV)</w:t>
            </w:r>
          </w:p>
        </w:tc>
        <w:tc>
          <w:tcPr>
            <w:tcW w:w="2822" w:type="dxa"/>
          </w:tcPr>
          <w:p w14:paraId="5C00709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98.51%</w:t>
            </w:r>
          </w:p>
        </w:tc>
      </w:tr>
      <w:tr w:rsidR="00CA5A21" w:rsidRPr="00CA5A21" w14:paraId="206768F8" w14:textId="77777777" w:rsidTr="003101AE">
        <w:trPr>
          <w:trHeight w:val="343"/>
        </w:trPr>
        <w:tc>
          <w:tcPr>
            <w:tcW w:w="2821" w:type="dxa"/>
          </w:tcPr>
          <w:p w14:paraId="777D2ECB" w14:textId="77777777" w:rsidR="00CA5A21" w:rsidRPr="00CA5A21" w:rsidRDefault="00CA5A21" w:rsidP="00A42BCC">
            <w:pPr>
              <w:rPr>
                <w:rFonts w:ascii="Times New Roman" w:hAnsi="Times New Roman" w:cs="Times New Roman"/>
                <w:b/>
                <w:sz w:val="24"/>
                <w:szCs w:val="24"/>
              </w:rPr>
            </w:pPr>
          </w:p>
        </w:tc>
        <w:tc>
          <w:tcPr>
            <w:tcW w:w="2821" w:type="dxa"/>
          </w:tcPr>
          <w:p w14:paraId="187913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Balanced Accuracy</w:t>
            </w:r>
          </w:p>
        </w:tc>
        <w:tc>
          <w:tcPr>
            <w:tcW w:w="2822" w:type="dxa"/>
          </w:tcPr>
          <w:p w14:paraId="77E4D25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91.61%</w:t>
            </w:r>
          </w:p>
        </w:tc>
      </w:tr>
      <w:tr w:rsidR="00CA5A21" w:rsidRPr="00CA5A21" w14:paraId="55978E03" w14:textId="77777777" w:rsidTr="003101AE">
        <w:trPr>
          <w:trHeight w:val="343"/>
        </w:trPr>
        <w:tc>
          <w:tcPr>
            <w:tcW w:w="2821" w:type="dxa"/>
          </w:tcPr>
          <w:p w14:paraId="3A32BFA5" w14:textId="77777777" w:rsidR="00CA5A21" w:rsidRPr="00CA5A21" w:rsidRDefault="00CA5A21" w:rsidP="00A42BCC">
            <w:pPr>
              <w:rPr>
                <w:rFonts w:ascii="Times New Roman" w:hAnsi="Times New Roman" w:cs="Times New Roman"/>
                <w:b/>
                <w:sz w:val="24"/>
                <w:szCs w:val="24"/>
              </w:rPr>
            </w:pPr>
          </w:p>
        </w:tc>
        <w:tc>
          <w:tcPr>
            <w:tcW w:w="2821" w:type="dxa"/>
          </w:tcPr>
          <w:p w14:paraId="47EEF6B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Prevalence</w:t>
            </w:r>
          </w:p>
        </w:tc>
        <w:tc>
          <w:tcPr>
            <w:tcW w:w="2822" w:type="dxa"/>
          </w:tcPr>
          <w:p w14:paraId="357B487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17.69%</w:t>
            </w:r>
          </w:p>
        </w:tc>
      </w:tr>
      <w:tr w:rsidR="00CA5A21" w:rsidRPr="00CA5A21" w14:paraId="757EE1B2" w14:textId="77777777" w:rsidTr="003101AE">
        <w:trPr>
          <w:trHeight w:val="343"/>
        </w:trPr>
        <w:tc>
          <w:tcPr>
            <w:tcW w:w="2821" w:type="dxa"/>
          </w:tcPr>
          <w:p w14:paraId="322FFD4E" w14:textId="77777777" w:rsidR="00CA5A21" w:rsidRPr="00CA5A21" w:rsidRDefault="00CA5A21" w:rsidP="00A42BCC">
            <w:pPr>
              <w:rPr>
                <w:rFonts w:ascii="Times New Roman" w:hAnsi="Times New Roman" w:cs="Times New Roman"/>
                <w:b/>
                <w:sz w:val="24"/>
                <w:szCs w:val="24"/>
              </w:rPr>
            </w:pPr>
          </w:p>
        </w:tc>
        <w:tc>
          <w:tcPr>
            <w:tcW w:w="2821" w:type="dxa"/>
          </w:tcPr>
          <w:p w14:paraId="7615689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Rate</w:t>
            </w:r>
          </w:p>
        </w:tc>
        <w:tc>
          <w:tcPr>
            <w:tcW w:w="2822" w:type="dxa"/>
          </w:tcPr>
          <w:p w14:paraId="2E5B094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16.57%</w:t>
            </w:r>
          </w:p>
        </w:tc>
      </w:tr>
      <w:tr w:rsidR="00CA5A21" w:rsidRPr="00CA5A21" w14:paraId="1013D93C" w14:textId="77777777" w:rsidTr="003101AE">
        <w:trPr>
          <w:trHeight w:val="343"/>
        </w:trPr>
        <w:tc>
          <w:tcPr>
            <w:tcW w:w="2821" w:type="dxa"/>
          </w:tcPr>
          <w:p w14:paraId="1FA556C3" w14:textId="77777777" w:rsidR="00CA5A21" w:rsidRPr="00CA5A21" w:rsidRDefault="00CA5A21" w:rsidP="00A42BCC">
            <w:pPr>
              <w:rPr>
                <w:rFonts w:ascii="Times New Roman" w:hAnsi="Times New Roman" w:cs="Times New Roman"/>
                <w:b/>
                <w:sz w:val="24"/>
                <w:szCs w:val="24"/>
              </w:rPr>
            </w:pPr>
          </w:p>
        </w:tc>
        <w:tc>
          <w:tcPr>
            <w:tcW w:w="2821" w:type="dxa"/>
          </w:tcPr>
          <w:p w14:paraId="24FE3C4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Prevalence</w:t>
            </w:r>
          </w:p>
        </w:tc>
        <w:tc>
          <w:tcPr>
            <w:tcW w:w="2822" w:type="dxa"/>
          </w:tcPr>
          <w:p w14:paraId="485C180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25.21%</w:t>
            </w:r>
          </w:p>
        </w:tc>
      </w:tr>
      <w:tr w:rsidR="00CA5A21" w:rsidRPr="00CA5A21" w14:paraId="36901F3A" w14:textId="77777777" w:rsidTr="003101AE">
        <w:trPr>
          <w:trHeight w:val="343"/>
        </w:trPr>
        <w:tc>
          <w:tcPr>
            <w:tcW w:w="2821" w:type="dxa"/>
          </w:tcPr>
          <w:p w14:paraId="648187D8" w14:textId="77777777" w:rsidR="00CA5A21" w:rsidRPr="00CA5A21" w:rsidRDefault="00CA5A21" w:rsidP="00A42BCC">
            <w:pPr>
              <w:rPr>
                <w:rFonts w:ascii="Times New Roman" w:hAnsi="Times New Roman" w:cs="Times New Roman"/>
                <w:b/>
                <w:sz w:val="24"/>
                <w:szCs w:val="24"/>
              </w:rPr>
            </w:pPr>
          </w:p>
        </w:tc>
        <w:tc>
          <w:tcPr>
            <w:tcW w:w="2821" w:type="dxa"/>
          </w:tcPr>
          <w:p w14:paraId="58455A62"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No Information Rate</w:t>
            </w:r>
          </w:p>
        </w:tc>
        <w:tc>
          <w:tcPr>
            <w:tcW w:w="2822" w:type="dxa"/>
          </w:tcPr>
          <w:p w14:paraId="77A957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82.31%</w:t>
            </w:r>
          </w:p>
        </w:tc>
      </w:tr>
      <w:tr w:rsidR="00CA5A21" w:rsidRPr="00CA5A21" w14:paraId="15954ABE" w14:textId="77777777" w:rsidTr="003101AE">
        <w:trPr>
          <w:trHeight w:val="328"/>
        </w:trPr>
        <w:tc>
          <w:tcPr>
            <w:tcW w:w="2821" w:type="dxa"/>
          </w:tcPr>
          <w:p w14:paraId="520AC2AB" w14:textId="77777777" w:rsidR="00CA5A21" w:rsidRPr="00CA5A21" w:rsidRDefault="00CA5A21" w:rsidP="00A42BCC">
            <w:pPr>
              <w:rPr>
                <w:rFonts w:ascii="Times New Roman" w:hAnsi="Times New Roman" w:cs="Times New Roman"/>
                <w:b/>
                <w:sz w:val="24"/>
                <w:szCs w:val="24"/>
              </w:rPr>
            </w:pPr>
          </w:p>
        </w:tc>
        <w:tc>
          <w:tcPr>
            <w:tcW w:w="2821" w:type="dxa"/>
          </w:tcPr>
          <w:p w14:paraId="01DB08B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P-value [</w:t>
            </w:r>
            <w:proofErr w:type="spellStart"/>
            <w:r w:rsidRPr="00FA2C7D">
              <w:rPr>
                <w:rFonts w:ascii="Times New Roman" w:hAnsi="Times New Roman" w:cs="Times New Roman"/>
                <w:bCs/>
                <w:sz w:val="24"/>
                <w:szCs w:val="24"/>
              </w:rPr>
              <w:t>Acc</w:t>
            </w:r>
            <w:proofErr w:type="spellEnd"/>
            <w:r w:rsidRPr="00FA2C7D">
              <w:rPr>
                <w:rFonts w:ascii="Times New Roman" w:hAnsi="Times New Roman" w:cs="Times New Roman"/>
                <w:bCs/>
                <w:sz w:val="24"/>
                <w:szCs w:val="24"/>
              </w:rPr>
              <w:t xml:space="preserve"> &gt; NIR]</w:t>
            </w:r>
          </w:p>
        </w:tc>
        <w:tc>
          <w:tcPr>
            <w:tcW w:w="2822" w:type="dxa"/>
          </w:tcPr>
          <w:p w14:paraId="4AEA323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1.562×10⁻⁹</w:t>
            </w:r>
          </w:p>
        </w:tc>
      </w:tr>
      <w:tr w:rsidR="00CA5A21" w:rsidRPr="00CA5A21" w14:paraId="2932D474" w14:textId="77777777" w:rsidTr="003101AE">
        <w:trPr>
          <w:trHeight w:val="343"/>
        </w:trPr>
        <w:tc>
          <w:tcPr>
            <w:tcW w:w="2821" w:type="dxa"/>
          </w:tcPr>
          <w:p w14:paraId="1B610E94" w14:textId="77777777" w:rsidR="00CA5A21" w:rsidRPr="00CA5A21" w:rsidRDefault="00CA5A21" w:rsidP="00A42BCC">
            <w:pPr>
              <w:rPr>
                <w:rFonts w:ascii="Times New Roman" w:hAnsi="Times New Roman" w:cs="Times New Roman"/>
                <w:b/>
                <w:sz w:val="24"/>
                <w:szCs w:val="24"/>
              </w:rPr>
            </w:pPr>
          </w:p>
        </w:tc>
        <w:tc>
          <w:tcPr>
            <w:tcW w:w="2821" w:type="dxa"/>
          </w:tcPr>
          <w:p w14:paraId="7578F60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McNemar’s Test p-value</w:t>
            </w:r>
          </w:p>
        </w:tc>
        <w:tc>
          <w:tcPr>
            <w:tcW w:w="2822" w:type="dxa"/>
          </w:tcPr>
          <w:p w14:paraId="3C83D9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2.378×10⁻¹⁰</w:t>
            </w:r>
          </w:p>
        </w:tc>
      </w:tr>
      <w:tr w:rsidR="00CA5A21" w:rsidRPr="00CA5A21" w14:paraId="24B13992" w14:textId="77777777" w:rsidTr="003101AE">
        <w:trPr>
          <w:trHeight w:val="688"/>
        </w:trPr>
        <w:tc>
          <w:tcPr>
            <w:tcW w:w="2821" w:type="dxa"/>
          </w:tcPr>
          <w:p w14:paraId="1E0D3C50" w14:textId="7B64C36E"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Confusion matrix </w:t>
            </w:r>
          </w:p>
        </w:tc>
        <w:tc>
          <w:tcPr>
            <w:tcW w:w="2821" w:type="dxa"/>
          </w:tcPr>
          <w:p w14:paraId="7CCF783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Positives (TP)</w:t>
            </w:r>
          </w:p>
        </w:tc>
        <w:tc>
          <w:tcPr>
            <w:tcW w:w="2822" w:type="dxa"/>
          </w:tcPr>
          <w:p w14:paraId="3E42D34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119</w:t>
            </w:r>
          </w:p>
        </w:tc>
      </w:tr>
      <w:tr w:rsidR="00CA5A21" w:rsidRPr="00CA5A21" w14:paraId="3A44C8C4" w14:textId="77777777" w:rsidTr="003101AE">
        <w:trPr>
          <w:trHeight w:val="343"/>
        </w:trPr>
        <w:tc>
          <w:tcPr>
            <w:tcW w:w="2821" w:type="dxa"/>
          </w:tcPr>
          <w:p w14:paraId="3DFA4E89" w14:textId="77777777" w:rsidR="00CA5A21" w:rsidRPr="00CA5A21" w:rsidRDefault="00CA5A21" w:rsidP="00A42BCC">
            <w:pPr>
              <w:rPr>
                <w:rFonts w:ascii="Times New Roman" w:hAnsi="Times New Roman" w:cs="Times New Roman"/>
                <w:b/>
                <w:sz w:val="24"/>
                <w:szCs w:val="24"/>
              </w:rPr>
            </w:pPr>
          </w:p>
        </w:tc>
        <w:tc>
          <w:tcPr>
            <w:tcW w:w="2821" w:type="dxa"/>
          </w:tcPr>
          <w:p w14:paraId="46A3B5F6"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Positives (FP)</w:t>
            </w:r>
          </w:p>
        </w:tc>
        <w:tc>
          <w:tcPr>
            <w:tcW w:w="2822" w:type="dxa"/>
          </w:tcPr>
          <w:p w14:paraId="1188703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62</w:t>
            </w:r>
          </w:p>
        </w:tc>
      </w:tr>
      <w:tr w:rsidR="00CA5A21" w:rsidRPr="00CA5A21" w14:paraId="37451307" w14:textId="77777777" w:rsidTr="003101AE">
        <w:trPr>
          <w:trHeight w:val="343"/>
        </w:trPr>
        <w:tc>
          <w:tcPr>
            <w:tcW w:w="2821" w:type="dxa"/>
          </w:tcPr>
          <w:p w14:paraId="7BD6CD2F" w14:textId="77777777" w:rsidR="00CA5A21" w:rsidRPr="00CA5A21" w:rsidRDefault="00CA5A21" w:rsidP="00A42BCC">
            <w:pPr>
              <w:rPr>
                <w:rFonts w:ascii="Times New Roman" w:hAnsi="Times New Roman" w:cs="Times New Roman"/>
                <w:b/>
                <w:sz w:val="24"/>
                <w:szCs w:val="24"/>
              </w:rPr>
            </w:pPr>
          </w:p>
        </w:tc>
        <w:tc>
          <w:tcPr>
            <w:tcW w:w="2821" w:type="dxa"/>
          </w:tcPr>
          <w:p w14:paraId="7A8A76F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Negatives (FN)</w:t>
            </w:r>
          </w:p>
        </w:tc>
        <w:tc>
          <w:tcPr>
            <w:tcW w:w="2822" w:type="dxa"/>
          </w:tcPr>
          <w:p w14:paraId="2D01C09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w:t>
            </w:r>
          </w:p>
        </w:tc>
      </w:tr>
      <w:tr w:rsidR="00CA5A21" w:rsidRPr="00CA5A21" w14:paraId="365301D5" w14:textId="77777777" w:rsidTr="003101AE">
        <w:trPr>
          <w:trHeight w:val="343"/>
        </w:trPr>
        <w:tc>
          <w:tcPr>
            <w:tcW w:w="2821" w:type="dxa"/>
          </w:tcPr>
          <w:p w14:paraId="6FF7CEA7" w14:textId="77777777" w:rsidR="00CA5A21" w:rsidRPr="00CA5A21" w:rsidRDefault="00CA5A21" w:rsidP="00A42BCC">
            <w:pPr>
              <w:rPr>
                <w:rFonts w:ascii="Times New Roman" w:hAnsi="Times New Roman" w:cs="Times New Roman"/>
                <w:b/>
                <w:sz w:val="24"/>
                <w:szCs w:val="24"/>
              </w:rPr>
            </w:pPr>
          </w:p>
        </w:tc>
        <w:tc>
          <w:tcPr>
            <w:tcW w:w="2821" w:type="dxa"/>
          </w:tcPr>
          <w:p w14:paraId="10BFD81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Negatives (TN)</w:t>
            </w:r>
          </w:p>
        </w:tc>
        <w:tc>
          <w:tcPr>
            <w:tcW w:w="2822" w:type="dxa"/>
          </w:tcPr>
          <w:p w14:paraId="2AD131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529</w:t>
            </w:r>
          </w:p>
        </w:tc>
      </w:tr>
      <w:tr w:rsidR="00CA5A21" w:rsidRPr="00CA5A21" w14:paraId="2916030C" w14:textId="77777777" w:rsidTr="003101AE">
        <w:trPr>
          <w:trHeight w:val="328"/>
        </w:trPr>
        <w:tc>
          <w:tcPr>
            <w:tcW w:w="2821" w:type="dxa"/>
          </w:tcPr>
          <w:p w14:paraId="297A20DF" w14:textId="77777777" w:rsidR="00CA5A21" w:rsidRPr="00CA5A21" w:rsidRDefault="00CA5A21" w:rsidP="00A42BCC">
            <w:pPr>
              <w:rPr>
                <w:rFonts w:ascii="Times New Roman" w:hAnsi="Times New Roman" w:cs="Times New Roman"/>
                <w:b/>
                <w:sz w:val="24"/>
                <w:szCs w:val="24"/>
              </w:rPr>
            </w:pPr>
          </w:p>
        </w:tc>
        <w:tc>
          <w:tcPr>
            <w:tcW w:w="2821" w:type="dxa"/>
          </w:tcPr>
          <w:p w14:paraId="4D4BD25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Total N</w:t>
            </w:r>
          </w:p>
        </w:tc>
        <w:tc>
          <w:tcPr>
            <w:tcW w:w="2822" w:type="dxa"/>
          </w:tcPr>
          <w:p w14:paraId="70D150C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718</w:t>
            </w:r>
          </w:p>
        </w:tc>
      </w:tr>
    </w:tbl>
    <w:p w14:paraId="34AFF1DD" w14:textId="77777777" w:rsidR="008B55DA" w:rsidRDefault="008B55DA" w:rsidP="00CA5A21">
      <w:pPr>
        <w:rPr>
          <w:rFonts w:ascii="Times New Roman" w:hAnsi="Times New Roman" w:cs="Times New Roman"/>
          <w:bCs/>
          <w:sz w:val="24"/>
          <w:szCs w:val="24"/>
        </w:rPr>
      </w:pPr>
    </w:p>
    <w:p w14:paraId="4CD3CB2A" w14:textId="206A6A3A" w:rsidR="0014553D" w:rsidRDefault="0014553D" w:rsidP="00CA5A21">
      <w:pPr>
        <w:rPr>
          <w:rFonts w:ascii="Times New Roman" w:hAnsi="Times New Roman" w:cs="Times New Roman"/>
          <w:b/>
          <w:sz w:val="24"/>
          <w:szCs w:val="24"/>
        </w:rPr>
      </w:pPr>
      <w:r w:rsidRPr="0014553D">
        <w:rPr>
          <w:rFonts w:ascii="Times New Roman" w:hAnsi="Times New Roman" w:cs="Times New Roman"/>
          <w:b/>
          <w:sz w:val="24"/>
          <w:szCs w:val="24"/>
        </w:rPr>
        <w:t xml:space="preserve">Table3: </w:t>
      </w:r>
      <w:r>
        <w:rPr>
          <w:rFonts w:ascii="Times New Roman" w:hAnsi="Times New Roman" w:cs="Times New Roman"/>
          <w:b/>
          <w:sz w:val="24"/>
          <w:szCs w:val="24"/>
        </w:rPr>
        <w:t xml:space="preserve">Explanations of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Parameters</w:t>
      </w:r>
    </w:p>
    <w:tbl>
      <w:tblPr>
        <w:tblStyle w:val="TableGrid"/>
        <w:tblW w:w="0" w:type="auto"/>
        <w:tblLook w:val="04A0" w:firstRow="1" w:lastRow="0" w:firstColumn="1" w:lastColumn="0" w:noHBand="0" w:noVBand="1"/>
      </w:tblPr>
      <w:tblGrid>
        <w:gridCol w:w="2043"/>
        <w:gridCol w:w="1401"/>
        <w:gridCol w:w="1929"/>
        <w:gridCol w:w="1428"/>
        <w:gridCol w:w="1092"/>
      </w:tblGrid>
      <w:tr w:rsidR="0014553D" w:rsidRPr="0014553D" w14:paraId="550F0E4C" w14:textId="77777777" w:rsidTr="0014553D">
        <w:tc>
          <w:tcPr>
            <w:tcW w:w="2043" w:type="dxa"/>
          </w:tcPr>
          <w:p w14:paraId="410EA6F1"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Parameter</w:t>
            </w:r>
          </w:p>
        </w:tc>
        <w:tc>
          <w:tcPr>
            <w:tcW w:w="1401" w:type="dxa"/>
          </w:tcPr>
          <w:p w14:paraId="6A274337"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Plain meaning</w:t>
            </w:r>
          </w:p>
        </w:tc>
        <w:tc>
          <w:tcPr>
            <w:tcW w:w="1929" w:type="dxa"/>
          </w:tcPr>
          <w:p w14:paraId="7F4A82B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higher values do</w:t>
            </w:r>
          </w:p>
        </w:tc>
        <w:tc>
          <w:tcPr>
            <w:tcW w:w="1428" w:type="dxa"/>
          </w:tcPr>
          <w:p w14:paraId="6886DD8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lower values do</w:t>
            </w:r>
          </w:p>
        </w:tc>
        <w:tc>
          <w:tcPr>
            <w:tcW w:w="1092" w:type="dxa"/>
          </w:tcPr>
          <w:p w14:paraId="18EEA0AD"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Typical range</w:t>
            </w:r>
          </w:p>
        </w:tc>
      </w:tr>
      <w:tr w:rsidR="0014553D" w:rsidRPr="0014553D" w14:paraId="7CC64C2B" w14:textId="77777777" w:rsidTr="0014553D">
        <w:tc>
          <w:tcPr>
            <w:tcW w:w="2043" w:type="dxa"/>
          </w:tcPr>
          <w:p w14:paraId="3DA44A88"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nrounds</w:t>
            </w:r>
            <w:proofErr w:type="spellEnd"/>
          </w:p>
        </w:tc>
        <w:tc>
          <w:tcPr>
            <w:tcW w:w="1401" w:type="dxa"/>
          </w:tcPr>
          <w:p w14:paraId="62CC23D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Number of boosting iterations (trees).</w:t>
            </w:r>
          </w:p>
        </w:tc>
        <w:tc>
          <w:tcPr>
            <w:tcW w:w="1929" w:type="dxa"/>
          </w:tcPr>
          <w:p w14:paraId="4C87C02D" w14:textId="0418F9CF"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More trees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learn more complex patterns, but risk overfitting and longer training time.</w:t>
            </w:r>
          </w:p>
        </w:tc>
        <w:tc>
          <w:tcPr>
            <w:tcW w:w="1428" w:type="dxa"/>
          </w:tcPr>
          <w:p w14:paraId="0EE46CB8" w14:textId="3C7D25F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Fewer trees </w:t>
            </w:r>
            <w:r>
              <w:rPr>
                <w:rFonts w:ascii="Times New Roman" w:hAnsi="Times New Roman" w:cs="Times New Roman"/>
                <w:bCs/>
                <w:sz w:val="24"/>
                <w:szCs w:val="24"/>
              </w:rPr>
              <w:t xml:space="preserve">- </w:t>
            </w:r>
            <w:r w:rsidRPr="0014553D">
              <w:rPr>
                <w:rFonts w:ascii="Times New Roman" w:hAnsi="Times New Roman" w:cs="Times New Roman"/>
                <w:bCs/>
                <w:sz w:val="24"/>
                <w:szCs w:val="24"/>
              </w:rPr>
              <w:t>faster, lower variance, but risk underfitting.</w:t>
            </w:r>
          </w:p>
        </w:tc>
        <w:tc>
          <w:tcPr>
            <w:tcW w:w="1092" w:type="dxa"/>
          </w:tcPr>
          <w:p w14:paraId="6C2B97A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50–1000</w:t>
            </w:r>
          </w:p>
        </w:tc>
      </w:tr>
      <w:tr w:rsidR="0014553D" w:rsidRPr="0014553D" w14:paraId="2398E6D6" w14:textId="77777777" w:rsidTr="0014553D">
        <w:tc>
          <w:tcPr>
            <w:tcW w:w="2043" w:type="dxa"/>
          </w:tcPr>
          <w:p w14:paraId="5E6500DC"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max_depth</w:t>
            </w:r>
            <w:proofErr w:type="spellEnd"/>
          </w:p>
        </w:tc>
        <w:tc>
          <w:tcPr>
            <w:tcW w:w="1401" w:type="dxa"/>
          </w:tcPr>
          <w:p w14:paraId="63DEDFD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Maximum tree depth (complexity per tree).</w:t>
            </w:r>
          </w:p>
        </w:tc>
        <w:tc>
          <w:tcPr>
            <w:tcW w:w="1929" w:type="dxa"/>
          </w:tcPr>
          <w:p w14:paraId="783E5F3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Deeper trees capture interactions but can overfit and reduce generalisation.</w:t>
            </w:r>
          </w:p>
        </w:tc>
        <w:tc>
          <w:tcPr>
            <w:tcW w:w="1428" w:type="dxa"/>
          </w:tcPr>
          <w:p w14:paraId="0BD6F96D"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Shallower trees are more regularised, may miss complex signals.</w:t>
            </w:r>
          </w:p>
        </w:tc>
        <w:tc>
          <w:tcPr>
            <w:tcW w:w="1092" w:type="dxa"/>
          </w:tcPr>
          <w:p w14:paraId="512B929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3–12</w:t>
            </w:r>
          </w:p>
        </w:tc>
      </w:tr>
      <w:tr w:rsidR="0014553D" w:rsidRPr="0014553D" w14:paraId="26CE701C" w14:textId="77777777" w:rsidTr="0014553D">
        <w:tc>
          <w:tcPr>
            <w:tcW w:w="2043" w:type="dxa"/>
          </w:tcPr>
          <w:p w14:paraId="3BDC618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lastRenderedPageBreak/>
              <w:t>eta (learning rate)</w:t>
            </w:r>
          </w:p>
        </w:tc>
        <w:tc>
          <w:tcPr>
            <w:tcW w:w="1401" w:type="dxa"/>
          </w:tcPr>
          <w:p w14:paraId="1096645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Step size for each boosting update.</w:t>
            </w:r>
          </w:p>
        </w:tc>
        <w:tc>
          <w:tcPr>
            <w:tcW w:w="1929" w:type="dxa"/>
          </w:tcPr>
          <w:p w14:paraId="74933CF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Larger steps learn faster but can overshoot/overfit.</w:t>
            </w:r>
          </w:p>
        </w:tc>
        <w:tc>
          <w:tcPr>
            <w:tcW w:w="1428" w:type="dxa"/>
          </w:tcPr>
          <w:p w14:paraId="4F96726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Smaller steps learn slowly, more stable, need more trees.</w:t>
            </w:r>
          </w:p>
        </w:tc>
        <w:tc>
          <w:tcPr>
            <w:tcW w:w="1092" w:type="dxa"/>
          </w:tcPr>
          <w:p w14:paraId="59B076F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0.01–0.3</w:t>
            </w:r>
          </w:p>
        </w:tc>
      </w:tr>
      <w:tr w:rsidR="0014553D" w:rsidRPr="0014553D" w14:paraId="015055C1" w14:textId="77777777" w:rsidTr="0014553D">
        <w:tc>
          <w:tcPr>
            <w:tcW w:w="2043" w:type="dxa"/>
          </w:tcPr>
          <w:p w14:paraId="58AF9D84"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gamma</w:t>
            </w:r>
          </w:p>
        </w:tc>
        <w:tc>
          <w:tcPr>
            <w:tcW w:w="1401" w:type="dxa"/>
          </w:tcPr>
          <w:p w14:paraId="643AA56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loss reduction to split a node (split penalty).</w:t>
            </w:r>
          </w:p>
        </w:tc>
        <w:tc>
          <w:tcPr>
            <w:tcW w:w="1929" w:type="dxa"/>
          </w:tcPr>
          <w:p w14:paraId="38E808BB" w14:textId="4CCCAD1A"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gamma prunes weak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simpler, less overfit.</w:t>
            </w:r>
          </w:p>
        </w:tc>
        <w:tc>
          <w:tcPr>
            <w:tcW w:w="1428" w:type="dxa"/>
          </w:tcPr>
          <w:p w14:paraId="38A3BD22" w14:textId="66338E5D"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gamma allows more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 risk overfit.</w:t>
            </w:r>
          </w:p>
        </w:tc>
        <w:tc>
          <w:tcPr>
            <w:tcW w:w="1092" w:type="dxa"/>
          </w:tcPr>
          <w:p w14:paraId="7C9B9AF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0–10</w:t>
            </w:r>
          </w:p>
        </w:tc>
      </w:tr>
      <w:tr w:rsidR="0014553D" w:rsidRPr="0014553D" w14:paraId="043D5840" w14:textId="77777777" w:rsidTr="0014553D">
        <w:tc>
          <w:tcPr>
            <w:tcW w:w="2043" w:type="dxa"/>
          </w:tcPr>
          <w:p w14:paraId="01F67AE6"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colsample_bytree</w:t>
            </w:r>
            <w:proofErr w:type="spellEnd"/>
          </w:p>
        </w:tc>
        <w:tc>
          <w:tcPr>
            <w:tcW w:w="1401" w:type="dxa"/>
          </w:tcPr>
          <w:p w14:paraId="67D57C5B"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features sampled per tree.</w:t>
            </w:r>
          </w:p>
        </w:tc>
        <w:tc>
          <w:tcPr>
            <w:tcW w:w="1929" w:type="dxa"/>
          </w:tcPr>
          <w:p w14:paraId="04109A3F" w14:textId="32505D65"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fraction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less overfit, may reduce accuracy.</w:t>
            </w:r>
          </w:p>
        </w:tc>
        <w:tc>
          <w:tcPr>
            <w:tcW w:w="1428" w:type="dxa"/>
          </w:tcPr>
          <w:p w14:paraId="0BFA0C53" w14:textId="6CFB6E3B"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fraction uses more features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increase fit but overfit risk.</w:t>
            </w:r>
          </w:p>
        </w:tc>
        <w:tc>
          <w:tcPr>
            <w:tcW w:w="1092" w:type="dxa"/>
          </w:tcPr>
          <w:p w14:paraId="12B790C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0.3–1.0</w:t>
            </w:r>
          </w:p>
        </w:tc>
      </w:tr>
      <w:tr w:rsidR="0014553D" w:rsidRPr="0014553D" w14:paraId="66C82728" w14:textId="77777777" w:rsidTr="0014553D">
        <w:tc>
          <w:tcPr>
            <w:tcW w:w="2043" w:type="dxa"/>
          </w:tcPr>
          <w:p w14:paraId="406F402E"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min_child_weight</w:t>
            </w:r>
            <w:proofErr w:type="spellEnd"/>
          </w:p>
        </w:tc>
        <w:tc>
          <w:tcPr>
            <w:tcW w:w="1401" w:type="dxa"/>
          </w:tcPr>
          <w:p w14:paraId="06FDEFA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sum of Hessian (roughly, min data weight) in a leaf.</w:t>
            </w:r>
          </w:p>
        </w:tc>
        <w:tc>
          <w:tcPr>
            <w:tcW w:w="1929" w:type="dxa"/>
          </w:tcPr>
          <w:p w14:paraId="56DF32A1" w14:textId="78FAD263"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require more data per leaf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smoother, less overfit.</w:t>
            </w:r>
          </w:p>
        </w:tc>
        <w:tc>
          <w:tcPr>
            <w:tcW w:w="1428" w:type="dxa"/>
          </w:tcPr>
          <w:p w14:paraId="4BA63257" w14:textId="1F7C9B12"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smaller leaves allowed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fits, overfit risk.</w:t>
            </w:r>
          </w:p>
        </w:tc>
        <w:tc>
          <w:tcPr>
            <w:tcW w:w="1092" w:type="dxa"/>
          </w:tcPr>
          <w:p w14:paraId="41E6040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1–10</w:t>
            </w:r>
          </w:p>
        </w:tc>
      </w:tr>
      <w:tr w:rsidR="0014553D" w:rsidRPr="0014553D" w14:paraId="58A5F170" w14:textId="77777777" w:rsidTr="0014553D">
        <w:tc>
          <w:tcPr>
            <w:tcW w:w="2043" w:type="dxa"/>
          </w:tcPr>
          <w:p w14:paraId="2793154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subsample</w:t>
            </w:r>
          </w:p>
        </w:tc>
        <w:tc>
          <w:tcPr>
            <w:tcW w:w="1401" w:type="dxa"/>
          </w:tcPr>
          <w:p w14:paraId="50A4264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rows sampled per tree.</w:t>
            </w:r>
          </w:p>
        </w:tc>
        <w:tc>
          <w:tcPr>
            <w:tcW w:w="1929" w:type="dxa"/>
          </w:tcPr>
          <w:p w14:paraId="445D3155" w14:textId="14D78E96"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regularises; too low can underfit.</w:t>
            </w:r>
          </w:p>
        </w:tc>
        <w:tc>
          <w:tcPr>
            <w:tcW w:w="1428" w:type="dxa"/>
          </w:tcPr>
          <w:p w14:paraId="463A64EB" w14:textId="22E6F0D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uses more data per tree </w:t>
            </w:r>
            <w:r>
              <w:rPr>
                <w:rFonts w:ascii="Times New Roman" w:hAnsi="Times New Roman" w:cs="Times New Roman"/>
                <w:bCs/>
                <w:sz w:val="24"/>
                <w:szCs w:val="24"/>
              </w:rPr>
              <w:t>-</w:t>
            </w:r>
            <w:r w:rsidRPr="0014553D">
              <w:rPr>
                <w:rFonts w:ascii="Times New Roman" w:hAnsi="Times New Roman" w:cs="Times New Roman"/>
                <w:bCs/>
                <w:sz w:val="24"/>
                <w:szCs w:val="24"/>
              </w:rPr>
              <w:t xml:space="preserve"> stronger fit, overfit risk.</w:t>
            </w:r>
          </w:p>
        </w:tc>
        <w:tc>
          <w:tcPr>
            <w:tcW w:w="1092" w:type="dxa"/>
          </w:tcPr>
          <w:p w14:paraId="493E597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0.5–1.0</w:t>
            </w:r>
          </w:p>
        </w:tc>
      </w:tr>
    </w:tbl>
    <w:p w14:paraId="3B31DC24" w14:textId="1CBE0691" w:rsidR="0014553D" w:rsidRDefault="0014553D" w:rsidP="0014553D">
      <w:pPr>
        <w:rPr>
          <w:rFonts w:ascii="Times New Roman" w:hAnsi="Times New Roman" w:cs="Times New Roman"/>
          <w:b/>
          <w:sz w:val="24"/>
          <w:szCs w:val="24"/>
        </w:rPr>
      </w:pPr>
    </w:p>
    <w:p w14:paraId="4040265D" w14:textId="77777777" w:rsidR="009210EF" w:rsidRPr="0014553D" w:rsidRDefault="009210EF" w:rsidP="0014553D">
      <w:pPr>
        <w:rPr>
          <w:rFonts w:ascii="Times New Roman" w:hAnsi="Times New Roman" w:cs="Times New Roman"/>
          <w:b/>
          <w:sz w:val="24"/>
          <w:szCs w:val="24"/>
        </w:rPr>
      </w:pPr>
    </w:p>
    <w:sectPr w:rsidR="009210EF" w:rsidRPr="0014553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C30DF"/>
    <w:multiLevelType w:val="multilevel"/>
    <w:tmpl w:val="47FC1D0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1863EE"/>
    <w:multiLevelType w:val="multilevel"/>
    <w:tmpl w:val="D1FC3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026037"/>
    <w:multiLevelType w:val="multilevel"/>
    <w:tmpl w:val="D6FCF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18047B"/>
    <w:multiLevelType w:val="multilevel"/>
    <w:tmpl w:val="0C427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983DDE"/>
    <w:multiLevelType w:val="hybridMultilevel"/>
    <w:tmpl w:val="434C4AB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FE11DC5"/>
    <w:multiLevelType w:val="hybridMultilevel"/>
    <w:tmpl w:val="8D86FA0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30973447">
    <w:abstractNumId w:val="1"/>
  </w:num>
  <w:num w:numId="2" w16cid:durableId="107704415">
    <w:abstractNumId w:val="2"/>
  </w:num>
  <w:num w:numId="3" w16cid:durableId="1645355154">
    <w:abstractNumId w:val="0"/>
  </w:num>
  <w:num w:numId="4" w16cid:durableId="2046296154">
    <w:abstractNumId w:val="3"/>
  </w:num>
  <w:num w:numId="5" w16cid:durableId="2106220582">
    <w:abstractNumId w:val="5"/>
  </w:num>
  <w:num w:numId="6" w16cid:durableId="283195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FDE"/>
    <w:rsid w:val="00017A75"/>
    <w:rsid w:val="00055DE7"/>
    <w:rsid w:val="00077FD0"/>
    <w:rsid w:val="000B13E7"/>
    <w:rsid w:val="000F3FDE"/>
    <w:rsid w:val="00114AFB"/>
    <w:rsid w:val="0014553D"/>
    <w:rsid w:val="00166D08"/>
    <w:rsid w:val="001B44A1"/>
    <w:rsid w:val="001B58C3"/>
    <w:rsid w:val="001C48F8"/>
    <w:rsid w:val="00253344"/>
    <w:rsid w:val="00276C58"/>
    <w:rsid w:val="002909FB"/>
    <w:rsid w:val="00293D16"/>
    <w:rsid w:val="002A006C"/>
    <w:rsid w:val="002B4A96"/>
    <w:rsid w:val="002F12D8"/>
    <w:rsid w:val="003101AE"/>
    <w:rsid w:val="003460CE"/>
    <w:rsid w:val="00346E7C"/>
    <w:rsid w:val="003972EA"/>
    <w:rsid w:val="003D2EE1"/>
    <w:rsid w:val="003E2BC6"/>
    <w:rsid w:val="00437578"/>
    <w:rsid w:val="00452E18"/>
    <w:rsid w:val="004831C1"/>
    <w:rsid w:val="004858C4"/>
    <w:rsid w:val="004A41F1"/>
    <w:rsid w:val="004D5C77"/>
    <w:rsid w:val="004D64B9"/>
    <w:rsid w:val="004D6B1C"/>
    <w:rsid w:val="004F2C70"/>
    <w:rsid w:val="005450D6"/>
    <w:rsid w:val="005A052C"/>
    <w:rsid w:val="005E16C8"/>
    <w:rsid w:val="00612CA8"/>
    <w:rsid w:val="0069440D"/>
    <w:rsid w:val="006E5E54"/>
    <w:rsid w:val="006E7C2C"/>
    <w:rsid w:val="006F37AF"/>
    <w:rsid w:val="007161D9"/>
    <w:rsid w:val="00731928"/>
    <w:rsid w:val="007D7454"/>
    <w:rsid w:val="008001FD"/>
    <w:rsid w:val="00810FF8"/>
    <w:rsid w:val="00827938"/>
    <w:rsid w:val="00830215"/>
    <w:rsid w:val="0086028F"/>
    <w:rsid w:val="00874325"/>
    <w:rsid w:val="008A6639"/>
    <w:rsid w:val="008B0DF4"/>
    <w:rsid w:val="008B55DA"/>
    <w:rsid w:val="008C267D"/>
    <w:rsid w:val="008E125A"/>
    <w:rsid w:val="00905EBB"/>
    <w:rsid w:val="0091789E"/>
    <w:rsid w:val="009210EF"/>
    <w:rsid w:val="0096186D"/>
    <w:rsid w:val="00964075"/>
    <w:rsid w:val="00966476"/>
    <w:rsid w:val="00971EE8"/>
    <w:rsid w:val="00981C91"/>
    <w:rsid w:val="009876D4"/>
    <w:rsid w:val="009B24EB"/>
    <w:rsid w:val="009E1785"/>
    <w:rsid w:val="009F3870"/>
    <w:rsid w:val="00A012F3"/>
    <w:rsid w:val="00A11B92"/>
    <w:rsid w:val="00A27646"/>
    <w:rsid w:val="00A80675"/>
    <w:rsid w:val="00A879B9"/>
    <w:rsid w:val="00A91B35"/>
    <w:rsid w:val="00B131E0"/>
    <w:rsid w:val="00B17FB3"/>
    <w:rsid w:val="00B503AF"/>
    <w:rsid w:val="00B50DBE"/>
    <w:rsid w:val="00B54A20"/>
    <w:rsid w:val="00B567D3"/>
    <w:rsid w:val="00B7201E"/>
    <w:rsid w:val="00B8695F"/>
    <w:rsid w:val="00B9269F"/>
    <w:rsid w:val="00BC029A"/>
    <w:rsid w:val="00BE696B"/>
    <w:rsid w:val="00BE705F"/>
    <w:rsid w:val="00C1382E"/>
    <w:rsid w:val="00C22198"/>
    <w:rsid w:val="00C37734"/>
    <w:rsid w:val="00C60DC6"/>
    <w:rsid w:val="00C633BD"/>
    <w:rsid w:val="00CA5A21"/>
    <w:rsid w:val="00CE5E5E"/>
    <w:rsid w:val="00CF7261"/>
    <w:rsid w:val="00D128FE"/>
    <w:rsid w:val="00D2721A"/>
    <w:rsid w:val="00D35C91"/>
    <w:rsid w:val="00D45E7A"/>
    <w:rsid w:val="00DB313D"/>
    <w:rsid w:val="00E2495A"/>
    <w:rsid w:val="00E26A93"/>
    <w:rsid w:val="00E4015B"/>
    <w:rsid w:val="00E4128B"/>
    <w:rsid w:val="00E6316B"/>
    <w:rsid w:val="00E92930"/>
    <w:rsid w:val="00EB6180"/>
    <w:rsid w:val="00ED5CE3"/>
    <w:rsid w:val="00EE06AD"/>
    <w:rsid w:val="00F04074"/>
    <w:rsid w:val="00F241D8"/>
    <w:rsid w:val="00F63537"/>
    <w:rsid w:val="00F9346A"/>
    <w:rsid w:val="00FA2C7D"/>
    <w:rsid w:val="00FA3C5E"/>
    <w:rsid w:val="00FC09E4"/>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36F18"/>
  <w15:docId w15:val="{C9A77335-CF37-417C-800F-15C8A671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764F5"/>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E764F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764F5"/>
  </w:style>
  <w:style w:type="character" w:customStyle="1" w:styleId="Heading2Char">
    <w:name w:val="Heading 2 Char"/>
    <w:basedOn w:val="DefaultParagraphFont"/>
    <w:link w:val="Heading2"/>
    <w:uiPriority w:val="9"/>
    <w:semiHidden/>
    <w:rsid w:val="008F30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F308F"/>
    <w:rPr>
      <w:rFonts w:asciiTheme="majorHAnsi" w:eastAsiaTheme="majorEastAsia" w:hAnsiTheme="majorHAnsi" w:cstheme="majorBidi"/>
      <w:color w:val="1F4D78" w:themeColor="accent1" w:themeShade="7F"/>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A879B9"/>
    <w:pPr>
      <w:spacing w:after="0" w:line="240" w:lineRule="auto"/>
      <w:ind w:left="720" w:hanging="720"/>
    </w:pPr>
  </w:style>
  <w:style w:type="table" w:styleId="TableGrid">
    <w:name w:val="Table Grid"/>
    <w:basedOn w:val="TableNormal"/>
    <w:uiPriority w:val="39"/>
    <w:rsid w:val="00E41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7261"/>
    <w:pPr>
      <w:ind w:left="720"/>
      <w:contextualSpacing/>
    </w:pPr>
  </w:style>
  <w:style w:type="character" w:styleId="Hyperlink">
    <w:name w:val="Hyperlink"/>
    <w:basedOn w:val="DefaultParagraphFont"/>
    <w:uiPriority w:val="99"/>
    <w:unhideWhenUsed/>
    <w:rsid w:val="007161D9"/>
    <w:rPr>
      <w:color w:val="0563C1" w:themeColor="hyperlink"/>
      <w:u w:val="single"/>
    </w:rPr>
  </w:style>
  <w:style w:type="character" w:styleId="UnresolvedMention">
    <w:name w:val="Unresolved Mention"/>
    <w:basedOn w:val="DefaultParagraphFont"/>
    <w:uiPriority w:val="99"/>
    <w:semiHidden/>
    <w:unhideWhenUsed/>
    <w:rsid w:val="00716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jashwanthikaa/Predicting-Carcinogenicity.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uLSMMDn4Vd9wkVaPoneBHD50/Q==">CgMxLjAaHwoBMBIaChgICVIUChJ0YWJsZS44c2FkMGUxd3p3ZW4aHwoBMRIaChgICVIUChJ0YWJsZS42ZTNyNzR4ZW96MnEaHwoBMhIaChgICVIUChJ0YWJsZS5vN2RtZjA5Z3JwNTIaHwoBMxIaChgICVIUChJ0YWJsZS4yaXU3ZWs5ZWJqYWQyDmguaHMwMWJ4MWtqY2ViMg5oLnd5cW5leGpvYXZmcjIOaC50ZjlnazZ6NHQ5M2UyDmgudnVleHdpZzJmeGRjMg5oLm90Mm11bGE5dmtnbTIOaC54bnFvNHBneXlmNjMyDmguamt3anV0eWliNGR4OAByITFkeWhhLXlsVDFmT0xubkVKM0ZGU0kwbmRrM1BJc2pCdQ==</go:docsCustomData>
</go:gDocsCustomXmlDataStorage>
</file>

<file path=customXml/itemProps1.xml><?xml version="1.0" encoding="utf-8"?>
<ds:datastoreItem xmlns:ds="http://schemas.openxmlformats.org/officeDocument/2006/customXml" ds:itemID="{7ABD763A-0EF1-4B64-8C12-EE48AC98F2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35</Pages>
  <Words>53553</Words>
  <Characters>305254</Characters>
  <Application>Microsoft Office Word</Application>
  <DocSecurity>0</DocSecurity>
  <Lines>2543</Lines>
  <Paragraphs>716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Crooks</dc:creator>
  <cp:lastModifiedBy>Jashwanthikaa D R</cp:lastModifiedBy>
  <cp:revision>21</cp:revision>
  <dcterms:created xsi:type="dcterms:W3CDTF">2025-08-28T00:38:00Z</dcterms:created>
  <dcterms:modified xsi:type="dcterms:W3CDTF">2025-08-28T04:13:00Z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id="hEYT4mEg"/&gt;&lt;style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