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D4" w:rsidRDefault="00A46014" w:rsidP="00A82A27">
      <w:pPr>
        <w:pStyle w:val="Title"/>
        <w:spacing w:before="120" w:after="120"/>
        <w:jc w:val="center"/>
      </w:pPr>
      <w:r>
        <w:t>Food Related ISO Standards</w:t>
      </w:r>
    </w:p>
    <w:p w:rsidR="00A46014" w:rsidRPr="006F497C" w:rsidRDefault="00A82A27" w:rsidP="00A82A27">
      <w:pPr>
        <w:rPr>
          <w:sz w:val="24"/>
          <w:szCs w:val="24"/>
        </w:rPr>
      </w:pPr>
      <w:r w:rsidRPr="006F497C">
        <w:rPr>
          <w:sz w:val="24"/>
          <w:szCs w:val="24"/>
        </w:rPr>
        <w:t xml:space="preserve">ISO has more than 1 600 related to the food sector, with many more in development. These </w:t>
      </w:r>
      <w:r w:rsidRPr="006F497C">
        <w:rPr>
          <w:sz w:val="24"/>
          <w:szCs w:val="24"/>
        </w:rPr>
        <w:t xml:space="preserve">cover: Food products, Food safety management, Microbiology, Fisheries and aquaculture, Essential oils, </w:t>
      </w:r>
      <w:r w:rsidRPr="006F497C">
        <w:rPr>
          <w:sz w:val="24"/>
          <w:szCs w:val="24"/>
        </w:rPr>
        <w:t>Starch and its by-products</w:t>
      </w:r>
    </w:p>
    <w:p w:rsidR="00A82A27" w:rsidRPr="006F497C" w:rsidRDefault="00A82A27" w:rsidP="00C05B53">
      <w:pPr>
        <w:pStyle w:val="Heading1"/>
        <w:rPr>
          <w:sz w:val="24"/>
          <w:szCs w:val="24"/>
        </w:rPr>
      </w:pPr>
      <w:r w:rsidRPr="006F497C">
        <w:rPr>
          <w:sz w:val="24"/>
          <w:szCs w:val="24"/>
        </w:rPr>
        <w:t xml:space="preserve">Food products </w:t>
      </w:r>
    </w:p>
    <w:p w:rsidR="00A82A27" w:rsidRPr="006F497C" w:rsidRDefault="00994D28" w:rsidP="00994D28">
      <w:pPr>
        <w:pStyle w:val="ListParagraph"/>
        <w:numPr>
          <w:ilvl w:val="0"/>
          <w:numId w:val="1"/>
        </w:numPr>
        <w:rPr>
          <w:sz w:val="24"/>
          <w:szCs w:val="24"/>
        </w:rPr>
      </w:pPr>
      <w:r w:rsidRPr="006F497C">
        <w:rPr>
          <w:sz w:val="24"/>
          <w:szCs w:val="24"/>
        </w:rPr>
        <w:t xml:space="preserve">ISO/TS 15495: </w:t>
      </w:r>
      <w:r w:rsidR="00A82A27" w:rsidRPr="006F497C">
        <w:rPr>
          <w:sz w:val="24"/>
          <w:szCs w:val="24"/>
        </w:rPr>
        <w:t xml:space="preserve"> Milk, milk products and infant formulae – Guidelines for the quantitative determination of melamine and </w:t>
      </w:r>
      <w:r w:rsidRPr="006F497C">
        <w:rPr>
          <w:sz w:val="24"/>
          <w:szCs w:val="24"/>
        </w:rPr>
        <w:t>cyan uric</w:t>
      </w:r>
      <w:r w:rsidR="00A82A27" w:rsidRPr="006F497C">
        <w:rPr>
          <w:sz w:val="24"/>
          <w:szCs w:val="24"/>
        </w:rPr>
        <w:t xml:space="preserve"> acid by LC-MS/MS</w:t>
      </w:r>
    </w:p>
    <w:p w:rsidR="00994D28" w:rsidRPr="006F497C" w:rsidRDefault="00994D28" w:rsidP="00994D28">
      <w:pPr>
        <w:pStyle w:val="ListParagraph"/>
        <w:numPr>
          <w:ilvl w:val="0"/>
          <w:numId w:val="1"/>
        </w:numPr>
        <w:rPr>
          <w:sz w:val="24"/>
          <w:szCs w:val="24"/>
        </w:rPr>
      </w:pPr>
      <w:r w:rsidRPr="006F497C">
        <w:rPr>
          <w:sz w:val="24"/>
          <w:szCs w:val="24"/>
        </w:rPr>
        <w:t>ISO 20633: Infant formula and adult nutritionals –This standard specifies important test methods for the quantitative determination of vitamins and other micronutrients in infant formula, to help ensure that its nutritional content conforms to its declaration.</w:t>
      </w:r>
      <w:r w:rsidR="00A82A27" w:rsidRPr="006F497C">
        <w:rPr>
          <w:sz w:val="24"/>
          <w:szCs w:val="24"/>
        </w:rPr>
        <w:t xml:space="preserve"> </w:t>
      </w:r>
    </w:p>
    <w:p w:rsidR="00C05B53" w:rsidRPr="006F497C" w:rsidRDefault="00C05B53" w:rsidP="00C05B53">
      <w:pPr>
        <w:pStyle w:val="Heading1"/>
        <w:spacing w:before="0"/>
        <w:rPr>
          <w:sz w:val="24"/>
          <w:szCs w:val="24"/>
        </w:rPr>
      </w:pPr>
      <w:r w:rsidRPr="006F497C">
        <w:rPr>
          <w:sz w:val="24"/>
          <w:szCs w:val="24"/>
        </w:rPr>
        <w:t>Food safety management</w:t>
      </w:r>
    </w:p>
    <w:p w:rsidR="00C05B53" w:rsidRPr="006F497C" w:rsidRDefault="00C05B53" w:rsidP="0016308D">
      <w:pPr>
        <w:rPr>
          <w:sz w:val="24"/>
          <w:szCs w:val="24"/>
        </w:rPr>
      </w:pPr>
      <w:r w:rsidRPr="006F497C">
        <w:rPr>
          <w:sz w:val="24"/>
          <w:szCs w:val="24"/>
        </w:rPr>
        <w:t>ISO 22000, Food safety management systems – Requirements for any organization in the food chain, developed by ISO/TC 34/SC 17, Management systems for food safety</w:t>
      </w:r>
    </w:p>
    <w:p w:rsidR="00C05B53" w:rsidRPr="006F497C" w:rsidRDefault="00C05B53" w:rsidP="0016308D">
      <w:pPr>
        <w:pStyle w:val="ListParagraph"/>
        <w:numPr>
          <w:ilvl w:val="0"/>
          <w:numId w:val="2"/>
        </w:numPr>
        <w:tabs>
          <w:tab w:val="left" w:pos="900"/>
        </w:tabs>
        <w:ind w:left="630" w:firstLine="90"/>
        <w:rPr>
          <w:sz w:val="24"/>
          <w:szCs w:val="24"/>
        </w:rPr>
      </w:pPr>
      <w:r w:rsidRPr="006F497C">
        <w:rPr>
          <w:sz w:val="24"/>
          <w:szCs w:val="24"/>
        </w:rPr>
        <w:t xml:space="preserve"> ISO 7304 provides guidelines for cooking pasta to perfection. </w:t>
      </w:r>
    </w:p>
    <w:p w:rsidR="00C05B53" w:rsidRPr="006F497C" w:rsidRDefault="00C05B53" w:rsidP="00C05B53">
      <w:pPr>
        <w:pStyle w:val="ListParagraph"/>
        <w:rPr>
          <w:sz w:val="24"/>
          <w:szCs w:val="24"/>
        </w:rPr>
      </w:pPr>
      <w:r w:rsidRPr="006F497C">
        <w:rPr>
          <w:sz w:val="24"/>
          <w:szCs w:val="24"/>
        </w:rPr>
        <w:t xml:space="preserve">• ISO 3103 defines what makes a good cup of tea. </w:t>
      </w:r>
    </w:p>
    <w:p w:rsidR="00C05B53" w:rsidRPr="006F497C" w:rsidRDefault="00C05B53" w:rsidP="00C05B53">
      <w:pPr>
        <w:pStyle w:val="ListParagraph"/>
        <w:rPr>
          <w:sz w:val="24"/>
          <w:szCs w:val="24"/>
        </w:rPr>
      </w:pPr>
      <w:r w:rsidRPr="006F497C">
        <w:rPr>
          <w:sz w:val="24"/>
          <w:szCs w:val="24"/>
        </w:rPr>
        <w:t>• ISO 3959 outlines the best conditions for ripening green bananas.</w:t>
      </w:r>
    </w:p>
    <w:p w:rsidR="00C05B53" w:rsidRPr="006F497C" w:rsidRDefault="0016308D" w:rsidP="0016308D">
      <w:pPr>
        <w:pStyle w:val="Heading1"/>
        <w:rPr>
          <w:sz w:val="24"/>
          <w:szCs w:val="24"/>
        </w:rPr>
      </w:pPr>
      <w:r w:rsidRPr="006F497C">
        <w:rPr>
          <w:sz w:val="24"/>
          <w:szCs w:val="24"/>
        </w:rPr>
        <w:t>Microbiology</w:t>
      </w:r>
    </w:p>
    <w:p w:rsidR="0016308D" w:rsidRPr="006F497C" w:rsidRDefault="0016308D" w:rsidP="0016308D">
      <w:pPr>
        <w:rPr>
          <w:sz w:val="24"/>
          <w:szCs w:val="24"/>
        </w:rPr>
      </w:pPr>
      <w:r w:rsidRPr="006F497C">
        <w:rPr>
          <w:sz w:val="24"/>
          <w:szCs w:val="24"/>
        </w:rPr>
        <w:t>ISO standards for microbiology are developed by ISO/TC 34/SC 9</w:t>
      </w:r>
    </w:p>
    <w:p w:rsidR="0016308D" w:rsidRPr="006F497C" w:rsidRDefault="0016308D" w:rsidP="0016308D">
      <w:pPr>
        <w:pStyle w:val="ListParagraph"/>
        <w:numPr>
          <w:ilvl w:val="0"/>
          <w:numId w:val="2"/>
        </w:numPr>
        <w:tabs>
          <w:tab w:val="left" w:pos="990"/>
        </w:tabs>
        <w:ind w:firstLine="90"/>
        <w:rPr>
          <w:sz w:val="24"/>
          <w:szCs w:val="24"/>
        </w:rPr>
      </w:pPr>
      <w:r w:rsidRPr="006F497C">
        <w:rPr>
          <w:sz w:val="24"/>
          <w:szCs w:val="24"/>
        </w:rPr>
        <w:t>ISO 16140, Microbiology of the food chain – Method validation</w:t>
      </w:r>
    </w:p>
    <w:p w:rsidR="0016308D" w:rsidRPr="006F497C" w:rsidRDefault="0016308D" w:rsidP="0016308D">
      <w:pPr>
        <w:pStyle w:val="ListParagraph"/>
        <w:numPr>
          <w:ilvl w:val="0"/>
          <w:numId w:val="2"/>
        </w:numPr>
        <w:tabs>
          <w:tab w:val="left" w:pos="990"/>
        </w:tabs>
        <w:ind w:firstLine="90"/>
        <w:rPr>
          <w:sz w:val="24"/>
          <w:szCs w:val="24"/>
        </w:rPr>
      </w:pPr>
      <w:r w:rsidRPr="006F497C">
        <w:rPr>
          <w:sz w:val="24"/>
          <w:szCs w:val="24"/>
        </w:rPr>
        <w:t>ISO 6579-1, Microbiology of the food chain – Horizontal method for the detection, enumeration and se</w:t>
      </w:r>
      <w:r w:rsidR="0003717C" w:rsidRPr="006F497C">
        <w:rPr>
          <w:sz w:val="24"/>
          <w:szCs w:val="24"/>
        </w:rPr>
        <w:t>rotyping of Salmonella – Part 1</w:t>
      </w:r>
      <w:r w:rsidRPr="006F497C">
        <w:rPr>
          <w:sz w:val="24"/>
          <w:szCs w:val="24"/>
        </w:rPr>
        <w:t xml:space="preserve">: Detection of Salmonella spp. </w:t>
      </w:r>
    </w:p>
    <w:p w:rsidR="0016308D" w:rsidRPr="006F497C" w:rsidRDefault="0016308D" w:rsidP="0016308D">
      <w:pPr>
        <w:pStyle w:val="ListParagraph"/>
        <w:numPr>
          <w:ilvl w:val="0"/>
          <w:numId w:val="2"/>
        </w:numPr>
        <w:tabs>
          <w:tab w:val="left" w:pos="990"/>
        </w:tabs>
        <w:ind w:firstLine="90"/>
        <w:rPr>
          <w:sz w:val="24"/>
          <w:szCs w:val="24"/>
        </w:rPr>
      </w:pPr>
      <w:r w:rsidRPr="006F497C">
        <w:rPr>
          <w:sz w:val="24"/>
          <w:szCs w:val="24"/>
        </w:rPr>
        <w:t xml:space="preserve"> ISO 10272-1, Microbiology of the food and animal feeding stuffs – Horizontal method for detection and enumeration of Campylobacter spp</w:t>
      </w:r>
      <w:r w:rsidR="0003717C" w:rsidRPr="006F497C">
        <w:rPr>
          <w:sz w:val="24"/>
          <w:szCs w:val="24"/>
        </w:rPr>
        <w:t>. – Part 1 : Detection method 1</w:t>
      </w:r>
    </w:p>
    <w:p w:rsidR="0016308D" w:rsidRPr="006F497C" w:rsidRDefault="0016308D" w:rsidP="0016308D">
      <w:pPr>
        <w:pStyle w:val="ListParagraph"/>
        <w:numPr>
          <w:ilvl w:val="0"/>
          <w:numId w:val="2"/>
        </w:numPr>
        <w:tabs>
          <w:tab w:val="left" w:pos="990"/>
        </w:tabs>
        <w:ind w:firstLine="90"/>
        <w:rPr>
          <w:sz w:val="24"/>
          <w:szCs w:val="24"/>
        </w:rPr>
      </w:pPr>
      <w:r w:rsidRPr="006F497C">
        <w:rPr>
          <w:sz w:val="24"/>
          <w:szCs w:val="24"/>
        </w:rPr>
        <w:t xml:space="preserve"> ISO 11290-1, Microbiology of food and animal feeding stuffs – Horizontal method for the detection and enumeration of Listeria </w:t>
      </w:r>
      <w:proofErr w:type="spellStart"/>
      <w:r w:rsidRPr="006F497C">
        <w:rPr>
          <w:sz w:val="24"/>
          <w:szCs w:val="24"/>
        </w:rPr>
        <w:t>monocytogene</w:t>
      </w:r>
      <w:r w:rsidR="0003717C" w:rsidRPr="006F497C">
        <w:rPr>
          <w:sz w:val="24"/>
          <w:szCs w:val="24"/>
        </w:rPr>
        <w:t>s</w:t>
      </w:r>
      <w:proofErr w:type="spellEnd"/>
      <w:r w:rsidR="0003717C" w:rsidRPr="006F497C">
        <w:rPr>
          <w:sz w:val="24"/>
          <w:szCs w:val="24"/>
        </w:rPr>
        <w:t xml:space="preserve"> – Part 1 : Detection method 1</w:t>
      </w:r>
    </w:p>
    <w:p w:rsidR="0003717C" w:rsidRPr="006F497C" w:rsidRDefault="0016308D" w:rsidP="0003717C">
      <w:pPr>
        <w:pStyle w:val="Heading1"/>
        <w:rPr>
          <w:sz w:val="24"/>
          <w:szCs w:val="24"/>
        </w:rPr>
      </w:pPr>
      <w:r w:rsidRPr="006F497C">
        <w:rPr>
          <w:sz w:val="24"/>
          <w:szCs w:val="24"/>
        </w:rPr>
        <w:t xml:space="preserve"> </w:t>
      </w:r>
      <w:r w:rsidR="0003717C" w:rsidRPr="006F497C">
        <w:rPr>
          <w:sz w:val="24"/>
          <w:szCs w:val="24"/>
        </w:rPr>
        <w:t>Fisheries and aquaculture</w:t>
      </w:r>
    </w:p>
    <w:p w:rsidR="0016308D" w:rsidRPr="006F497C" w:rsidRDefault="0003717C" w:rsidP="0003717C">
      <w:pPr>
        <w:tabs>
          <w:tab w:val="left" w:pos="990"/>
        </w:tabs>
        <w:ind w:firstLine="720"/>
        <w:rPr>
          <w:sz w:val="24"/>
          <w:szCs w:val="24"/>
        </w:rPr>
      </w:pPr>
      <w:r w:rsidRPr="006F497C">
        <w:rPr>
          <w:sz w:val="24"/>
          <w:szCs w:val="24"/>
        </w:rPr>
        <w:t>• ISO/TC 234, Fisheries and aquaculture</w:t>
      </w:r>
    </w:p>
    <w:p w:rsidR="0003717C" w:rsidRPr="006F497C" w:rsidRDefault="0003717C" w:rsidP="0003717C">
      <w:pPr>
        <w:pStyle w:val="ListParagraph"/>
        <w:numPr>
          <w:ilvl w:val="0"/>
          <w:numId w:val="3"/>
        </w:numPr>
        <w:tabs>
          <w:tab w:val="left" w:pos="990"/>
        </w:tabs>
        <w:spacing w:after="0"/>
        <w:ind w:left="900" w:hanging="180"/>
        <w:rPr>
          <w:sz w:val="24"/>
          <w:szCs w:val="24"/>
        </w:rPr>
      </w:pPr>
      <w:r w:rsidRPr="006F497C">
        <w:rPr>
          <w:sz w:val="24"/>
          <w:szCs w:val="24"/>
        </w:rPr>
        <w:t xml:space="preserve"> ISO 12875,Traceability of finfish products – Specification on the information to be recorded in captured finfish distribution chains</w:t>
      </w:r>
    </w:p>
    <w:p w:rsidR="0003717C" w:rsidRPr="006F497C" w:rsidRDefault="0003717C" w:rsidP="0003717C">
      <w:pPr>
        <w:pStyle w:val="ListParagraph"/>
        <w:numPr>
          <w:ilvl w:val="0"/>
          <w:numId w:val="3"/>
        </w:numPr>
        <w:tabs>
          <w:tab w:val="left" w:pos="990"/>
        </w:tabs>
        <w:ind w:left="900" w:hanging="180"/>
        <w:rPr>
          <w:sz w:val="24"/>
          <w:szCs w:val="24"/>
        </w:rPr>
      </w:pPr>
      <w:r w:rsidRPr="006F497C">
        <w:rPr>
          <w:sz w:val="24"/>
          <w:szCs w:val="24"/>
        </w:rPr>
        <w:t xml:space="preserve"> ISO 12878, Environmental monitoring of the impacts from marine finfish farms on soft bottom</w:t>
      </w:r>
    </w:p>
    <w:p w:rsidR="0003717C" w:rsidRPr="006F497C" w:rsidRDefault="0003717C" w:rsidP="0003717C">
      <w:pPr>
        <w:pStyle w:val="Heading1"/>
        <w:rPr>
          <w:sz w:val="24"/>
          <w:szCs w:val="24"/>
        </w:rPr>
      </w:pPr>
      <w:r w:rsidRPr="006F497C">
        <w:rPr>
          <w:sz w:val="24"/>
          <w:szCs w:val="24"/>
        </w:rPr>
        <w:t xml:space="preserve">Essential oils </w:t>
      </w:r>
    </w:p>
    <w:p w:rsidR="0003717C" w:rsidRPr="006F497C" w:rsidRDefault="0003717C" w:rsidP="0003717C">
      <w:pPr>
        <w:tabs>
          <w:tab w:val="left" w:pos="990"/>
        </w:tabs>
        <w:ind w:firstLine="810"/>
        <w:rPr>
          <w:sz w:val="24"/>
          <w:szCs w:val="24"/>
        </w:rPr>
      </w:pPr>
      <w:r w:rsidRPr="006F497C">
        <w:rPr>
          <w:sz w:val="24"/>
          <w:szCs w:val="24"/>
        </w:rPr>
        <w:t xml:space="preserve">• ISO/TC 54, Essential oils More than 130 standards for essential oils are used in food products, perfumes, cosmetics, </w:t>
      </w:r>
      <w:proofErr w:type="spellStart"/>
      <w:r w:rsidRPr="006F497C">
        <w:rPr>
          <w:sz w:val="24"/>
          <w:szCs w:val="24"/>
        </w:rPr>
        <w:t>phytotherapy</w:t>
      </w:r>
      <w:proofErr w:type="spellEnd"/>
      <w:r w:rsidRPr="006F497C">
        <w:rPr>
          <w:sz w:val="24"/>
          <w:szCs w:val="24"/>
        </w:rPr>
        <w:t xml:space="preserve"> and aromatherapy.</w:t>
      </w:r>
    </w:p>
    <w:p w:rsidR="0003717C" w:rsidRPr="006F497C" w:rsidRDefault="0003717C" w:rsidP="0003717C">
      <w:pPr>
        <w:pStyle w:val="Heading1"/>
        <w:rPr>
          <w:sz w:val="24"/>
          <w:szCs w:val="24"/>
        </w:rPr>
      </w:pPr>
      <w:r w:rsidRPr="006F497C">
        <w:rPr>
          <w:sz w:val="24"/>
          <w:szCs w:val="24"/>
        </w:rPr>
        <w:t>Starch and its by-products</w:t>
      </w:r>
    </w:p>
    <w:p w:rsidR="006F497C" w:rsidRPr="006F497C" w:rsidRDefault="0003717C" w:rsidP="006F497C">
      <w:pPr>
        <w:pStyle w:val="ListParagraph"/>
        <w:numPr>
          <w:ilvl w:val="0"/>
          <w:numId w:val="4"/>
        </w:numPr>
        <w:tabs>
          <w:tab w:val="left" w:pos="990"/>
        </w:tabs>
        <w:ind w:firstLine="90"/>
        <w:rPr>
          <w:sz w:val="24"/>
          <w:szCs w:val="24"/>
        </w:rPr>
      </w:pPr>
      <w:r w:rsidRPr="006F497C">
        <w:rPr>
          <w:sz w:val="24"/>
          <w:szCs w:val="24"/>
        </w:rPr>
        <w:t>ISO/TC 93, Starch (including derivatives and by-products)</w:t>
      </w:r>
    </w:p>
    <w:p w:rsidR="006F497C" w:rsidRDefault="006F497C" w:rsidP="006F497C">
      <w:pPr>
        <w:pStyle w:val="ListParagraph"/>
        <w:tabs>
          <w:tab w:val="left" w:pos="990"/>
        </w:tabs>
        <w:spacing w:before="120" w:after="120"/>
        <w:ind w:left="6300"/>
        <w:rPr>
          <w:sz w:val="24"/>
          <w:szCs w:val="24"/>
        </w:rPr>
      </w:pPr>
    </w:p>
    <w:p w:rsidR="0003717C" w:rsidRDefault="00956BF2" w:rsidP="006F497C">
      <w:pPr>
        <w:pStyle w:val="ListParagraph"/>
        <w:tabs>
          <w:tab w:val="left" w:pos="990"/>
        </w:tabs>
        <w:spacing w:before="120" w:after="120"/>
        <w:ind w:left="6300"/>
        <w:rPr>
          <w:sz w:val="24"/>
          <w:szCs w:val="24"/>
        </w:rPr>
      </w:pPr>
      <w:bookmarkStart w:id="0" w:name="_GoBack"/>
      <w:bookmarkEnd w:id="0"/>
      <w:r>
        <w:rPr>
          <w:sz w:val="24"/>
          <w:szCs w:val="24"/>
        </w:rPr>
        <w:t>Name</w:t>
      </w:r>
      <w:r>
        <w:rPr>
          <w:sz w:val="24"/>
          <w:szCs w:val="24"/>
        </w:rPr>
        <w:tab/>
      </w:r>
      <w:r>
        <w:rPr>
          <w:sz w:val="24"/>
          <w:szCs w:val="24"/>
        </w:rPr>
        <w:tab/>
        <w:t xml:space="preserve">: </w:t>
      </w:r>
      <w:proofErr w:type="spellStart"/>
      <w:r>
        <w:rPr>
          <w:sz w:val="24"/>
          <w:szCs w:val="24"/>
        </w:rPr>
        <w:t>T.Niroshan</w:t>
      </w:r>
      <w:proofErr w:type="spellEnd"/>
    </w:p>
    <w:p w:rsidR="00956BF2" w:rsidRDefault="00956BF2" w:rsidP="00956BF2">
      <w:pPr>
        <w:pStyle w:val="ListParagraph"/>
        <w:tabs>
          <w:tab w:val="left" w:pos="990"/>
        </w:tabs>
        <w:ind w:left="6300"/>
        <w:rPr>
          <w:sz w:val="24"/>
          <w:szCs w:val="24"/>
        </w:rPr>
      </w:pPr>
      <w:proofErr w:type="spellStart"/>
      <w:r>
        <w:rPr>
          <w:sz w:val="24"/>
          <w:szCs w:val="24"/>
        </w:rPr>
        <w:t>Reg</w:t>
      </w:r>
      <w:proofErr w:type="spellEnd"/>
      <w:r>
        <w:rPr>
          <w:sz w:val="24"/>
          <w:szCs w:val="24"/>
        </w:rPr>
        <w:t xml:space="preserve"> No</w:t>
      </w:r>
      <w:r>
        <w:rPr>
          <w:sz w:val="24"/>
          <w:szCs w:val="24"/>
        </w:rPr>
        <w:tab/>
      </w:r>
      <w:r>
        <w:rPr>
          <w:sz w:val="24"/>
          <w:szCs w:val="24"/>
        </w:rPr>
        <w:tab/>
        <w:t>: 15/APF/2185</w:t>
      </w:r>
    </w:p>
    <w:p w:rsidR="00956BF2" w:rsidRPr="0003717C" w:rsidRDefault="00956BF2" w:rsidP="00956BF2">
      <w:pPr>
        <w:pStyle w:val="ListParagraph"/>
        <w:tabs>
          <w:tab w:val="left" w:pos="990"/>
        </w:tabs>
        <w:ind w:left="6300"/>
        <w:rPr>
          <w:sz w:val="24"/>
          <w:szCs w:val="24"/>
        </w:rPr>
      </w:pPr>
    </w:p>
    <w:sectPr w:rsidR="00956BF2" w:rsidRPr="0003717C" w:rsidSect="00A46014">
      <w:pgSz w:w="11907" w:h="16839" w:code="9"/>
      <w:pgMar w:top="806" w:right="1022" w:bottom="806" w:left="1440" w:header="720" w:footer="720" w:gutter="0"/>
      <w:pgBorders>
        <w:top w:val="single" w:sz="4" w:space="0" w:color="auto"/>
        <w:left w:val="single" w:sz="4" w:space="4" w:color="auto"/>
        <w:bottom w:val="single" w:sz="4" w:space="0" w:color="auto"/>
        <w:right w:val="single" w:sz="4" w:space="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4112C"/>
    <w:multiLevelType w:val="hybridMultilevel"/>
    <w:tmpl w:val="C30C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491920"/>
    <w:multiLevelType w:val="hybridMultilevel"/>
    <w:tmpl w:val="3BCC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44944"/>
    <w:multiLevelType w:val="hybridMultilevel"/>
    <w:tmpl w:val="DB22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940E4"/>
    <w:multiLevelType w:val="hybridMultilevel"/>
    <w:tmpl w:val="5F0A8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61"/>
    <w:rsid w:val="0003717C"/>
    <w:rsid w:val="0016308D"/>
    <w:rsid w:val="00611CD4"/>
    <w:rsid w:val="006F497C"/>
    <w:rsid w:val="00901861"/>
    <w:rsid w:val="00956BF2"/>
    <w:rsid w:val="00994D28"/>
    <w:rsid w:val="00A46014"/>
    <w:rsid w:val="00A82A27"/>
    <w:rsid w:val="00BC6208"/>
    <w:rsid w:val="00C0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484FE-4EB5-4DFA-AF5E-8D38BB80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0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4D28"/>
    <w:pPr>
      <w:ind w:left="720"/>
      <w:contextualSpacing/>
    </w:pPr>
  </w:style>
  <w:style w:type="character" w:customStyle="1" w:styleId="Heading1Char">
    <w:name w:val="Heading 1 Char"/>
    <w:basedOn w:val="DefaultParagraphFont"/>
    <w:link w:val="Heading1"/>
    <w:uiPriority w:val="9"/>
    <w:rsid w:val="00C05B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8182-E9AE-41DF-A2AE-0A279DF9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dc:creator>
  <cp:keywords/>
  <dc:description/>
  <cp:lastModifiedBy>JASI</cp:lastModifiedBy>
  <cp:revision>4</cp:revision>
  <dcterms:created xsi:type="dcterms:W3CDTF">2020-02-06T15:55:00Z</dcterms:created>
  <dcterms:modified xsi:type="dcterms:W3CDTF">2020-02-06T17:04:00Z</dcterms:modified>
</cp:coreProperties>
</file>