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048D8" w14:textId="77777777" w:rsidR="00547938" w:rsidRPr="009C09AD" w:rsidRDefault="00547938" w:rsidP="00D020A1">
      <w:pPr>
        <w:rPr>
          <w:rFonts w:cstheme="minorHAnsi"/>
          <w:sz w:val="28"/>
          <w:szCs w:val="28"/>
        </w:rPr>
      </w:pPr>
      <w:r w:rsidRPr="009C09AD">
        <w:rPr>
          <w:rFonts w:cstheme="minorHAnsi"/>
          <w:sz w:val="28"/>
          <w:szCs w:val="28"/>
        </w:rPr>
        <w:t>To perform the CAPM test, we will check if the residual value, the excess return calculated using CAPM, deviates significantly from zero. Any positive or negative alpha represents if an asset is overperforming or underperforming, respectively. As the amount of assets present for analysis is huge, we will use Excel formulas of slope, intercept and RSQ for regression on individual assets. Our null hypothesis states that alpha values will equal or near zero. If the intercept value (alpha α) deviates significantly from zero, we will consider it evidence that CAPM does not hold. To check the significance of the deviation of alpha from zero, we will use the T-statistic with a level of significance set to 5%.</w:t>
      </w:r>
    </w:p>
    <w:p w14:paraId="5B155359" w14:textId="59408377" w:rsidR="001046D7" w:rsidRPr="009C09AD" w:rsidRDefault="001046D7" w:rsidP="00D020A1">
      <w:pPr>
        <w:rPr>
          <w:rFonts w:cstheme="minorHAnsi"/>
          <w:b/>
          <w:bCs/>
          <w:color w:val="000000"/>
          <w:sz w:val="28"/>
          <w:szCs w:val="28"/>
          <w:lang w:val="en-US"/>
        </w:rPr>
      </w:pPr>
      <w:r w:rsidRPr="009C09AD">
        <w:rPr>
          <w:rFonts w:cstheme="minorHAnsi"/>
          <w:b/>
          <w:bCs/>
          <w:color w:val="000000"/>
          <w:sz w:val="28"/>
          <w:szCs w:val="28"/>
          <w:lang w:val="en-US"/>
        </w:rPr>
        <w:t xml:space="preserve">Measures – </w:t>
      </w:r>
      <w:r w:rsidR="005D4BD1" w:rsidRPr="009C09AD">
        <w:rPr>
          <w:rFonts w:cstheme="minorHAnsi"/>
          <w:b/>
          <w:bCs/>
          <w:color w:val="000000"/>
          <w:sz w:val="28"/>
          <w:szCs w:val="28"/>
          <w:lang w:val="en-US"/>
        </w:rPr>
        <w:t>Beta and alpha</w:t>
      </w:r>
    </w:p>
    <w:tbl>
      <w:tblPr>
        <w:tblStyle w:val="TableGrid"/>
        <w:tblpPr w:leftFromText="180" w:rightFromText="180" w:vertAnchor="text" w:horzAnchor="margin" w:tblpXSpec="center" w:tblpY="739"/>
        <w:tblW w:w="0" w:type="auto"/>
        <w:tblLook w:val="04A0" w:firstRow="1" w:lastRow="0" w:firstColumn="1" w:lastColumn="0" w:noHBand="0" w:noVBand="1"/>
      </w:tblPr>
      <w:tblGrid>
        <w:gridCol w:w="846"/>
        <w:gridCol w:w="4678"/>
      </w:tblGrid>
      <w:tr w:rsidR="002814B1" w:rsidRPr="009C09AD" w14:paraId="35181975" w14:textId="77777777" w:rsidTr="000972A8">
        <w:tc>
          <w:tcPr>
            <w:tcW w:w="846" w:type="dxa"/>
          </w:tcPr>
          <w:p w14:paraId="031B5831" w14:textId="77777777" w:rsidR="002814B1" w:rsidRPr="009C09AD" w:rsidRDefault="002814B1" w:rsidP="000972A8">
            <w:pPr>
              <w:jc w:val="center"/>
              <w:rPr>
                <w:rFonts w:cstheme="minorHAnsi"/>
                <w:color w:val="000000"/>
                <w:sz w:val="27"/>
                <w:szCs w:val="27"/>
                <w:lang w:val="en-US"/>
              </w:rPr>
            </w:pPr>
            <w:r w:rsidRPr="009C09AD">
              <w:rPr>
                <w:rFonts w:cstheme="minorHAnsi"/>
                <w:color w:val="000000"/>
                <w:sz w:val="27"/>
                <w:szCs w:val="27"/>
                <w:lang w:val="en-US"/>
              </w:rPr>
              <w:t>β &gt; 1</w:t>
            </w:r>
          </w:p>
        </w:tc>
        <w:tc>
          <w:tcPr>
            <w:tcW w:w="4678" w:type="dxa"/>
          </w:tcPr>
          <w:p w14:paraId="4B130E4A" w14:textId="77777777" w:rsidR="002814B1" w:rsidRPr="009C09AD" w:rsidRDefault="002814B1" w:rsidP="000972A8">
            <w:pPr>
              <w:rPr>
                <w:rFonts w:cstheme="minorHAnsi"/>
                <w:color w:val="000000"/>
                <w:sz w:val="27"/>
                <w:szCs w:val="27"/>
                <w:lang w:val="en-US"/>
              </w:rPr>
            </w:pPr>
            <w:r w:rsidRPr="009C09AD">
              <w:rPr>
                <w:rFonts w:cstheme="minorHAnsi"/>
                <w:color w:val="000000"/>
                <w:sz w:val="27"/>
                <w:szCs w:val="27"/>
                <w:lang w:val="en-US"/>
              </w:rPr>
              <w:t>Portfolio is more volatile than market</w:t>
            </w:r>
          </w:p>
        </w:tc>
      </w:tr>
      <w:tr w:rsidR="002814B1" w:rsidRPr="009C09AD" w14:paraId="5258347D" w14:textId="77777777" w:rsidTr="000972A8">
        <w:tc>
          <w:tcPr>
            <w:tcW w:w="846" w:type="dxa"/>
          </w:tcPr>
          <w:p w14:paraId="78956F8C" w14:textId="77777777" w:rsidR="002814B1" w:rsidRPr="009C09AD" w:rsidRDefault="002814B1" w:rsidP="000972A8">
            <w:pPr>
              <w:rPr>
                <w:rFonts w:cstheme="minorHAnsi"/>
                <w:color w:val="000000"/>
                <w:sz w:val="27"/>
                <w:szCs w:val="27"/>
                <w:lang w:val="en-US"/>
              </w:rPr>
            </w:pPr>
            <w:r w:rsidRPr="009C09AD">
              <w:rPr>
                <w:rFonts w:cstheme="minorHAnsi"/>
                <w:color w:val="000000"/>
                <w:sz w:val="27"/>
                <w:szCs w:val="27"/>
                <w:lang w:val="en-US"/>
              </w:rPr>
              <w:t>β &lt; 1</w:t>
            </w:r>
          </w:p>
        </w:tc>
        <w:tc>
          <w:tcPr>
            <w:tcW w:w="4678" w:type="dxa"/>
          </w:tcPr>
          <w:p w14:paraId="17E54A18" w14:textId="77777777" w:rsidR="002814B1" w:rsidRPr="009C09AD" w:rsidRDefault="002814B1" w:rsidP="000972A8">
            <w:pPr>
              <w:rPr>
                <w:rFonts w:cstheme="minorHAnsi"/>
                <w:color w:val="000000"/>
                <w:sz w:val="27"/>
                <w:szCs w:val="27"/>
                <w:lang w:val="en-US"/>
              </w:rPr>
            </w:pPr>
            <w:r w:rsidRPr="009C09AD">
              <w:rPr>
                <w:rFonts w:cstheme="minorHAnsi"/>
                <w:color w:val="000000"/>
                <w:sz w:val="27"/>
                <w:szCs w:val="27"/>
                <w:lang w:val="en-US"/>
              </w:rPr>
              <w:t>Portfolio is less volatile than market</w:t>
            </w:r>
          </w:p>
        </w:tc>
      </w:tr>
      <w:tr w:rsidR="002814B1" w:rsidRPr="009C09AD" w14:paraId="563D839C" w14:textId="77777777" w:rsidTr="000972A8">
        <w:tc>
          <w:tcPr>
            <w:tcW w:w="846" w:type="dxa"/>
          </w:tcPr>
          <w:p w14:paraId="1CE27AFA" w14:textId="77777777" w:rsidR="002814B1" w:rsidRPr="009C09AD" w:rsidRDefault="002814B1" w:rsidP="000972A8">
            <w:pPr>
              <w:rPr>
                <w:rFonts w:cstheme="minorHAnsi"/>
                <w:color w:val="000000"/>
                <w:sz w:val="27"/>
                <w:szCs w:val="27"/>
                <w:lang w:val="en-US"/>
              </w:rPr>
            </w:pPr>
            <w:r w:rsidRPr="009C09AD">
              <w:rPr>
                <w:rFonts w:cstheme="minorHAnsi"/>
                <w:color w:val="000000"/>
                <w:sz w:val="27"/>
                <w:szCs w:val="27"/>
                <w:lang w:val="en-US"/>
              </w:rPr>
              <w:t>β = 1</w:t>
            </w:r>
          </w:p>
        </w:tc>
        <w:tc>
          <w:tcPr>
            <w:tcW w:w="4678" w:type="dxa"/>
          </w:tcPr>
          <w:p w14:paraId="37947AF3" w14:textId="77777777" w:rsidR="002814B1" w:rsidRPr="009C09AD" w:rsidRDefault="002814B1" w:rsidP="000972A8">
            <w:pPr>
              <w:rPr>
                <w:rFonts w:cstheme="minorHAnsi"/>
                <w:color w:val="000000"/>
                <w:sz w:val="27"/>
                <w:szCs w:val="27"/>
                <w:lang w:val="en-US"/>
              </w:rPr>
            </w:pPr>
            <w:r w:rsidRPr="009C09AD">
              <w:rPr>
                <w:rFonts w:cstheme="minorHAnsi"/>
                <w:color w:val="000000"/>
                <w:sz w:val="27"/>
                <w:szCs w:val="27"/>
                <w:lang w:val="en-US"/>
              </w:rPr>
              <w:t>Portfolio is equally volatile as the market</w:t>
            </w:r>
          </w:p>
        </w:tc>
      </w:tr>
    </w:tbl>
    <w:p w14:paraId="16C1381B" w14:textId="540A190E" w:rsidR="002814B1" w:rsidRPr="009C09AD" w:rsidRDefault="00A94620" w:rsidP="00D020A1">
      <w:pPr>
        <w:rPr>
          <w:rFonts w:cstheme="minorHAnsi"/>
          <w:color w:val="000000"/>
          <w:sz w:val="28"/>
          <w:szCs w:val="28"/>
          <w:lang w:val="en-US"/>
        </w:rPr>
      </w:pPr>
      <w:r w:rsidRPr="009C09AD">
        <w:rPr>
          <w:rFonts w:cstheme="minorHAnsi"/>
          <w:color w:val="000000"/>
          <w:sz w:val="28"/>
          <w:szCs w:val="28"/>
          <w:lang w:val="en-US"/>
        </w:rPr>
        <w:t>Beta helps define the volatility of a portfolio return compared to the market return movement.</w:t>
      </w:r>
    </w:p>
    <w:p w14:paraId="0934396F" w14:textId="77777777" w:rsidR="000972A8" w:rsidRPr="009C09AD" w:rsidRDefault="000972A8" w:rsidP="00D020A1">
      <w:pPr>
        <w:rPr>
          <w:rFonts w:cstheme="minorHAnsi"/>
          <w:color w:val="000000"/>
          <w:sz w:val="28"/>
          <w:szCs w:val="28"/>
          <w:lang w:val="en-US"/>
        </w:rPr>
      </w:pPr>
    </w:p>
    <w:p w14:paraId="1B3CE59F" w14:textId="77777777" w:rsidR="00D35024" w:rsidRPr="009C09AD" w:rsidRDefault="00D35024" w:rsidP="00D020A1">
      <w:pPr>
        <w:rPr>
          <w:rFonts w:cstheme="minorHAnsi"/>
          <w:color w:val="000000"/>
          <w:sz w:val="28"/>
          <w:szCs w:val="28"/>
          <w:lang w:val="en-US"/>
        </w:rPr>
      </w:pPr>
    </w:p>
    <w:p w14:paraId="6D5DABBE" w14:textId="00418BCD" w:rsidR="004516C4" w:rsidRPr="009C09AD" w:rsidRDefault="004516C4" w:rsidP="00D020A1">
      <w:pPr>
        <w:rPr>
          <w:rFonts w:cstheme="minorHAnsi"/>
          <w:color w:val="000000"/>
          <w:sz w:val="28"/>
          <w:szCs w:val="28"/>
          <w:lang w:val="en-US"/>
        </w:rPr>
      </w:pPr>
      <w:r w:rsidRPr="009C09AD">
        <w:rPr>
          <w:rFonts w:cstheme="minorHAnsi"/>
          <w:color w:val="000000"/>
          <w:sz w:val="28"/>
          <w:szCs w:val="28"/>
          <w:lang w:val="en-US"/>
        </w:rPr>
        <w:t xml:space="preserve">Alpha </w:t>
      </w:r>
      <w:r w:rsidR="00CB0D27" w:rsidRPr="009C09AD">
        <w:rPr>
          <w:rFonts w:cstheme="minorHAnsi"/>
          <w:color w:val="000000"/>
          <w:sz w:val="28"/>
          <w:szCs w:val="28"/>
          <w:lang w:val="en-US"/>
        </w:rPr>
        <w:t xml:space="preserve">helps in defining the residual </w:t>
      </w:r>
      <w:r w:rsidR="006627A3" w:rsidRPr="009C09AD">
        <w:rPr>
          <w:rFonts w:cstheme="minorHAnsi"/>
          <w:color w:val="000000"/>
          <w:sz w:val="28"/>
          <w:szCs w:val="28"/>
          <w:lang w:val="en-US"/>
        </w:rPr>
        <w:t>o</w:t>
      </w:r>
      <w:r w:rsidR="00A132BD" w:rsidRPr="009C09AD">
        <w:rPr>
          <w:rFonts w:cstheme="minorHAnsi"/>
          <w:color w:val="000000"/>
          <w:sz w:val="28"/>
          <w:szCs w:val="28"/>
          <w:lang w:val="en-US"/>
        </w:rPr>
        <w:t xml:space="preserve">r excess return </w:t>
      </w:r>
      <w:r w:rsidR="00942669" w:rsidRPr="009C09AD">
        <w:rPr>
          <w:rFonts w:cstheme="minorHAnsi"/>
          <w:color w:val="000000"/>
          <w:sz w:val="28"/>
          <w:szCs w:val="28"/>
          <w:lang w:val="en-US"/>
        </w:rPr>
        <w:t xml:space="preserve">that </w:t>
      </w:r>
      <w:r w:rsidR="00A7162F" w:rsidRPr="009C09AD">
        <w:rPr>
          <w:rFonts w:cstheme="minorHAnsi"/>
          <w:color w:val="000000"/>
          <w:sz w:val="28"/>
          <w:szCs w:val="28"/>
          <w:lang w:val="en-US"/>
        </w:rPr>
        <w:t xml:space="preserve">a portfolio </w:t>
      </w:r>
      <w:r w:rsidR="0071787A" w:rsidRPr="009C09AD">
        <w:rPr>
          <w:rFonts w:cstheme="minorHAnsi"/>
          <w:color w:val="000000"/>
          <w:sz w:val="28"/>
          <w:szCs w:val="28"/>
          <w:lang w:val="en-US"/>
        </w:rPr>
        <w:t>makes based on its beta</w:t>
      </w:r>
      <w:r w:rsidR="000A7353" w:rsidRPr="009C09AD">
        <w:rPr>
          <w:rFonts w:cstheme="minorHAnsi"/>
          <w:color w:val="000000"/>
          <w:sz w:val="28"/>
          <w:szCs w:val="28"/>
          <w:lang w:val="en-US"/>
        </w:rPr>
        <w:t>.</w:t>
      </w:r>
    </w:p>
    <w:tbl>
      <w:tblPr>
        <w:tblStyle w:val="TableGrid"/>
        <w:tblpPr w:leftFromText="180" w:rightFromText="180" w:vertAnchor="text" w:horzAnchor="page" w:tblpXSpec="center" w:tblpY="657"/>
        <w:tblW w:w="0" w:type="auto"/>
        <w:tblLook w:val="04A0" w:firstRow="1" w:lastRow="0" w:firstColumn="1" w:lastColumn="0" w:noHBand="0" w:noVBand="1"/>
      </w:tblPr>
      <w:tblGrid>
        <w:gridCol w:w="846"/>
        <w:gridCol w:w="6095"/>
      </w:tblGrid>
      <w:tr w:rsidR="000972A8" w:rsidRPr="009C09AD" w14:paraId="27BDD969" w14:textId="77777777" w:rsidTr="007428C4">
        <w:tc>
          <w:tcPr>
            <w:tcW w:w="846" w:type="dxa"/>
          </w:tcPr>
          <w:p w14:paraId="4B4BD7A9" w14:textId="77777777" w:rsidR="000972A8" w:rsidRPr="009C09AD" w:rsidRDefault="000972A8" w:rsidP="007428C4">
            <w:pPr>
              <w:rPr>
                <w:rFonts w:cstheme="minorHAnsi"/>
                <w:color w:val="000000"/>
                <w:sz w:val="27"/>
                <w:szCs w:val="27"/>
                <w:lang w:val="en-US"/>
              </w:rPr>
            </w:pPr>
            <w:r w:rsidRPr="009C09AD">
              <w:rPr>
                <w:rFonts w:cstheme="minorHAnsi"/>
                <w:color w:val="000000"/>
                <w:sz w:val="27"/>
                <w:szCs w:val="27"/>
                <w:lang w:val="en-US"/>
              </w:rPr>
              <w:t>α &gt; 0</w:t>
            </w:r>
          </w:p>
        </w:tc>
        <w:tc>
          <w:tcPr>
            <w:tcW w:w="6095" w:type="dxa"/>
          </w:tcPr>
          <w:p w14:paraId="379D471C" w14:textId="77777777" w:rsidR="000972A8" w:rsidRPr="009C09AD" w:rsidRDefault="000972A8" w:rsidP="007428C4">
            <w:pPr>
              <w:rPr>
                <w:rFonts w:cstheme="minorHAnsi"/>
                <w:color w:val="000000"/>
                <w:sz w:val="27"/>
                <w:szCs w:val="27"/>
                <w:lang w:val="en-US"/>
              </w:rPr>
            </w:pPr>
            <w:r w:rsidRPr="009C09AD">
              <w:rPr>
                <w:rFonts w:cstheme="minorHAnsi"/>
                <w:color w:val="000000"/>
                <w:sz w:val="27"/>
                <w:szCs w:val="27"/>
                <w:lang w:val="en-US"/>
              </w:rPr>
              <w:t>portfolio is overperforming and holder should keep it</w:t>
            </w:r>
          </w:p>
        </w:tc>
      </w:tr>
      <w:tr w:rsidR="000972A8" w:rsidRPr="009C09AD" w14:paraId="31DFCD26" w14:textId="77777777" w:rsidTr="007428C4">
        <w:tc>
          <w:tcPr>
            <w:tcW w:w="846" w:type="dxa"/>
          </w:tcPr>
          <w:p w14:paraId="394A5BA0" w14:textId="77777777" w:rsidR="000972A8" w:rsidRPr="009C09AD" w:rsidRDefault="000972A8" w:rsidP="007428C4">
            <w:pPr>
              <w:rPr>
                <w:rFonts w:cstheme="minorHAnsi"/>
                <w:color w:val="000000"/>
                <w:sz w:val="27"/>
                <w:szCs w:val="27"/>
                <w:lang w:val="en-US"/>
              </w:rPr>
            </w:pPr>
            <w:r w:rsidRPr="009C09AD">
              <w:rPr>
                <w:rFonts w:cstheme="minorHAnsi"/>
                <w:color w:val="000000"/>
                <w:sz w:val="27"/>
                <w:szCs w:val="27"/>
                <w:lang w:val="en-US"/>
              </w:rPr>
              <w:t>α &lt; 0</w:t>
            </w:r>
          </w:p>
        </w:tc>
        <w:tc>
          <w:tcPr>
            <w:tcW w:w="6095" w:type="dxa"/>
          </w:tcPr>
          <w:p w14:paraId="74A9D1BA" w14:textId="77777777" w:rsidR="000972A8" w:rsidRPr="009C09AD" w:rsidRDefault="000972A8" w:rsidP="007428C4">
            <w:pPr>
              <w:rPr>
                <w:rFonts w:cstheme="minorHAnsi"/>
                <w:color w:val="000000"/>
                <w:sz w:val="27"/>
                <w:szCs w:val="27"/>
                <w:lang w:val="en-US"/>
              </w:rPr>
            </w:pPr>
            <w:r w:rsidRPr="009C09AD">
              <w:rPr>
                <w:rFonts w:cstheme="minorHAnsi"/>
                <w:color w:val="000000"/>
                <w:sz w:val="27"/>
                <w:szCs w:val="27"/>
                <w:lang w:val="en-US"/>
              </w:rPr>
              <w:t>portfolio is underperforming and holder should sell it</w:t>
            </w:r>
          </w:p>
        </w:tc>
      </w:tr>
    </w:tbl>
    <w:p w14:paraId="3DC3EF1E" w14:textId="5578089A" w:rsidR="00AA1C79" w:rsidRPr="009C09AD" w:rsidRDefault="00E333F8" w:rsidP="007428C4">
      <w:pPr>
        <w:jc w:val="center"/>
        <w:rPr>
          <w:rFonts w:cstheme="minorHAnsi"/>
          <w:b/>
          <w:bCs/>
          <w:color w:val="000000"/>
          <w:sz w:val="28"/>
          <w:szCs w:val="28"/>
          <w:lang w:val="en-US"/>
        </w:rPr>
      </w:pPr>
      <w:r w:rsidRPr="009C09AD">
        <w:rPr>
          <w:rFonts w:cstheme="minorHAnsi"/>
          <w:b/>
          <w:bCs/>
          <w:color w:val="000000"/>
          <w:sz w:val="28"/>
          <w:szCs w:val="28"/>
          <w:lang w:val="en-US"/>
        </w:rPr>
        <w:t xml:space="preserve">Residual (alpha) = </w:t>
      </w:r>
      <w:r w:rsidR="00107D11" w:rsidRPr="009C09AD">
        <w:rPr>
          <w:rFonts w:cstheme="minorHAnsi"/>
          <w:b/>
          <w:bCs/>
          <w:color w:val="000000"/>
          <w:sz w:val="28"/>
          <w:szCs w:val="28"/>
          <w:lang w:val="en-US"/>
        </w:rPr>
        <w:t>Actual Return – CAPM Return</w:t>
      </w:r>
    </w:p>
    <w:p w14:paraId="7F835B0E" w14:textId="77777777" w:rsidR="007428C4" w:rsidRPr="009C09AD" w:rsidRDefault="007428C4" w:rsidP="007428C4">
      <w:pPr>
        <w:jc w:val="center"/>
        <w:rPr>
          <w:rFonts w:cstheme="minorHAnsi"/>
          <w:b/>
          <w:bCs/>
          <w:color w:val="000000"/>
          <w:sz w:val="28"/>
          <w:szCs w:val="28"/>
          <w:lang w:val="en-US"/>
        </w:rPr>
      </w:pPr>
    </w:p>
    <w:p w14:paraId="5182CA07" w14:textId="77777777" w:rsidR="007428C4" w:rsidRPr="009C09AD" w:rsidRDefault="007428C4" w:rsidP="00D020A1">
      <w:pPr>
        <w:rPr>
          <w:rFonts w:cstheme="minorHAnsi"/>
          <w:b/>
          <w:bCs/>
          <w:color w:val="000000"/>
          <w:sz w:val="40"/>
          <w:szCs w:val="40"/>
          <w:u w:val="single"/>
          <w:lang w:val="en-US"/>
        </w:rPr>
      </w:pPr>
    </w:p>
    <w:p w14:paraId="79F24AFB" w14:textId="2314014E" w:rsidR="0058269A" w:rsidRPr="009C09AD" w:rsidRDefault="00113F71" w:rsidP="00D020A1">
      <w:pPr>
        <w:rPr>
          <w:rFonts w:cstheme="minorHAnsi"/>
          <w:b/>
          <w:bCs/>
          <w:color w:val="000000"/>
          <w:sz w:val="40"/>
          <w:szCs w:val="40"/>
          <w:u w:val="single"/>
          <w:lang w:val="en-US"/>
        </w:rPr>
      </w:pPr>
      <w:r w:rsidRPr="009C09AD">
        <w:rPr>
          <w:rFonts w:cstheme="minorHAnsi"/>
          <w:b/>
          <w:bCs/>
          <w:color w:val="000000"/>
          <w:sz w:val="40"/>
          <w:szCs w:val="40"/>
          <w:u w:val="single"/>
          <w:lang w:val="en-US"/>
        </w:rPr>
        <w:t>PART A</w:t>
      </w:r>
    </w:p>
    <w:p w14:paraId="3AEC6FC3" w14:textId="36F04244" w:rsidR="00113F71" w:rsidRPr="009C09AD" w:rsidRDefault="008C550E" w:rsidP="00D020A1">
      <w:pPr>
        <w:rPr>
          <w:rFonts w:cstheme="minorHAnsi"/>
          <w:sz w:val="28"/>
          <w:szCs w:val="28"/>
          <w:lang w:val="en-US"/>
        </w:rPr>
      </w:pPr>
      <w:r w:rsidRPr="009C09AD">
        <w:rPr>
          <w:rFonts w:cstheme="minorHAnsi"/>
          <w:noProof/>
        </w:rPr>
        <w:drawing>
          <wp:inline distT="0" distB="0" distL="0" distR="0" wp14:anchorId="7FF4D929" wp14:editId="110182CA">
            <wp:extent cx="3429000" cy="2125980"/>
            <wp:effectExtent l="0" t="0" r="0" b="7620"/>
            <wp:docPr id="1580267061" name="Chart 1">
              <a:extLst xmlns:a="http://schemas.openxmlformats.org/drawingml/2006/main">
                <a:ext uri="{FF2B5EF4-FFF2-40B4-BE49-F238E27FC236}">
                  <a16:creationId xmlns:a16="http://schemas.microsoft.com/office/drawing/2014/main" id="{AE06CEC7-F36E-4FC7-8EEF-19DC6B4B60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7F0936" w:rsidRPr="009C09AD">
        <w:rPr>
          <w:rFonts w:cstheme="minorHAnsi"/>
          <w:noProof/>
        </w:rPr>
        <w:t xml:space="preserve"> </w:t>
      </w:r>
      <w:r w:rsidR="007F0936" w:rsidRPr="009C09AD">
        <w:rPr>
          <w:rFonts w:cstheme="minorHAnsi"/>
          <w:noProof/>
        </w:rPr>
        <w:drawing>
          <wp:inline distT="0" distB="0" distL="0" distR="0" wp14:anchorId="56074B2C" wp14:editId="1FEAF3E2">
            <wp:extent cx="3147060" cy="2087880"/>
            <wp:effectExtent l="0" t="0" r="15240" b="7620"/>
            <wp:docPr id="953882758" name="Chart 1">
              <a:extLst xmlns:a="http://schemas.openxmlformats.org/drawingml/2006/main">
                <a:ext uri="{FF2B5EF4-FFF2-40B4-BE49-F238E27FC236}">
                  <a16:creationId xmlns:a16="http://schemas.microsoft.com/office/drawing/2014/main" id="{7FF4D64A-6BA4-A545-979A-F0204CDD0B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8BA8037" w14:textId="77777777" w:rsidR="00F11A20" w:rsidRPr="009C09AD" w:rsidRDefault="00F11A20" w:rsidP="00D020A1">
      <w:pPr>
        <w:rPr>
          <w:rFonts w:cstheme="minorHAnsi"/>
          <w:sz w:val="28"/>
          <w:szCs w:val="28"/>
          <w:lang w:val="en-US"/>
        </w:rPr>
      </w:pPr>
    </w:p>
    <w:p w14:paraId="35A88BFB" w14:textId="77777777" w:rsidR="00D833B0" w:rsidRPr="009C09AD" w:rsidRDefault="00D833B0" w:rsidP="00D020A1">
      <w:pPr>
        <w:rPr>
          <w:rFonts w:cstheme="minorHAnsi"/>
          <w:sz w:val="28"/>
          <w:szCs w:val="28"/>
          <w:lang w:val="en-US"/>
        </w:rPr>
      </w:pPr>
      <w:r w:rsidRPr="009C09AD">
        <w:rPr>
          <w:rFonts w:cstheme="minorHAnsi"/>
          <w:sz w:val="28"/>
          <w:szCs w:val="28"/>
          <w:lang w:val="en-US"/>
        </w:rPr>
        <w:t xml:space="preserve">From the graph plotted for Alpha (α), we can see clear deviations in the value of Alpha. However, the value of the deviations is not statistically significant as the deviations are not huge. In the Excel Calculations, I have used t-statistic to check the significance of Alpha. From the calculations, we can see that if we use 1% as the level of significance, then portfolios like SMALL LoBM, ME1 BM4, SMALL HiBM, ME3 BM2, ME4 BM2, BIG LoBM and </w:t>
      </w:r>
      <w:r w:rsidRPr="009C09AD">
        <w:rPr>
          <w:rFonts w:cstheme="minorHAnsi"/>
          <w:sz w:val="28"/>
          <w:szCs w:val="28"/>
          <w:lang w:val="en-US"/>
        </w:rPr>
        <w:lastRenderedPageBreak/>
        <w:t>ME5 BM4 fail to pass the CAPM test. If we use a standard significance level of 5%, then CAPM holds, and every portfolio passes the CAPM test as the Residual value is insignificant.</w:t>
      </w:r>
    </w:p>
    <w:p w14:paraId="3A19F7B0" w14:textId="77777777" w:rsidR="00340A59" w:rsidRPr="009C09AD" w:rsidRDefault="00340A59" w:rsidP="00D020A1">
      <w:pPr>
        <w:rPr>
          <w:rFonts w:cstheme="minorHAnsi"/>
          <w:sz w:val="28"/>
          <w:szCs w:val="28"/>
          <w:lang w:val="en-US"/>
        </w:rPr>
      </w:pPr>
    </w:p>
    <w:p w14:paraId="1FD9F065" w14:textId="30F4AD49" w:rsidR="001E5556" w:rsidRPr="009C09AD" w:rsidRDefault="00572FF2" w:rsidP="00D020A1">
      <w:pPr>
        <w:rPr>
          <w:rFonts w:cstheme="minorHAnsi"/>
          <w:b/>
          <w:bCs/>
          <w:sz w:val="40"/>
          <w:szCs w:val="40"/>
          <w:u w:val="single"/>
          <w:lang w:val="en-US"/>
        </w:rPr>
      </w:pPr>
      <w:r w:rsidRPr="009C09AD">
        <w:rPr>
          <w:rFonts w:cstheme="minorHAnsi"/>
          <w:b/>
          <w:bCs/>
          <w:sz w:val="40"/>
          <w:szCs w:val="40"/>
          <w:u w:val="single"/>
          <w:lang w:val="en-US"/>
        </w:rPr>
        <w:t>PART B</w:t>
      </w:r>
    </w:p>
    <w:p w14:paraId="34C5A6B7" w14:textId="4D7C00C8" w:rsidR="00FE7F29" w:rsidRPr="009C09AD" w:rsidRDefault="006534E2" w:rsidP="002770DA">
      <w:pPr>
        <w:jc w:val="center"/>
        <w:rPr>
          <w:rFonts w:cstheme="minorHAnsi"/>
          <w:sz w:val="28"/>
          <w:szCs w:val="28"/>
          <w:lang w:val="en-US"/>
        </w:rPr>
      </w:pPr>
      <w:r w:rsidRPr="009C09AD">
        <w:rPr>
          <w:rFonts w:cstheme="minorHAnsi"/>
          <w:noProof/>
        </w:rPr>
        <w:drawing>
          <wp:inline distT="0" distB="0" distL="0" distR="0" wp14:anchorId="4624544F" wp14:editId="2D32DC98">
            <wp:extent cx="6096000" cy="3063240"/>
            <wp:effectExtent l="0" t="0" r="0" b="3810"/>
            <wp:docPr id="1226978466" name="Chart 1">
              <a:extLst xmlns:a="http://schemas.openxmlformats.org/drawingml/2006/main">
                <a:ext uri="{FF2B5EF4-FFF2-40B4-BE49-F238E27FC236}">
                  <a16:creationId xmlns:a16="http://schemas.microsoft.com/office/drawing/2014/main" id="{264FD54A-617D-773B-4806-0CB3BC125F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54FC0D" w14:textId="77777777" w:rsidR="003C76E0" w:rsidRPr="009C09AD" w:rsidRDefault="003C76E0" w:rsidP="001B4B62">
      <w:pPr>
        <w:rPr>
          <w:rFonts w:cstheme="minorHAnsi"/>
          <w:sz w:val="28"/>
          <w:szCs w:val="28"/>
          <w:lang w:val="en-US"/>
        </w:rPr>
      </w:pPr>
    </w:p>
    <w:p w14:paraId="55893C38" w14:textId="77777777" w:rsidR="007F55EB" w:rsidRPr="009C09AD" w:rsidRDefault="007F55EB" w:rsidP="007F55EB">
      <w:pPr>
        <w:rPr>
          <w:rFonts w:cstheme="minorHAnsi"/>
          <w:sz w:val="28"/>
          <w:szCs w:val="28"/>
          <w:lang w:val="en-US"/>
        </w:rPr>
      </w:pPr>
      <w:r w:rsidRPr="009C09AD">
        <w:rPr>
          <w:rFonts w:cstheme="minorHAnsi"/>
          <w:sz w:val="28"/>
          <w:szCs w:val="28"/>
          <w:lang w:val="en-US"/>
        </w:rPr>
        <w:t>From the line graph, we can see that during the FOMC period the absolute value of the residual (alpha) is higher than the non FOMC period. To check the statistical significance of the calculated alpha, we will use the t-statistic calculated in Excel with a level of significance of 5%. For the FOMC period we can see that the portfolio SMALL LoBM (5%), SMALL HiBM (8%), ME2 BM3 (7%), ME3 BM1 (10%), ME3 BM2 (9%), ME4 BM1 (9%), ME4 BM5 (5%), ME5 BM3 (6%), ME5 BM4 (5%) and BIG HiBM (5%) have failed to perform during the CAPM test. On the other hand, all the portfolios during the NON FOMC period holds the CAPM test because of near to zero alpha values and having a level of significance under 5%. During the FOMC period, we also saw that beta didn’t remain consistent between the two periods.</w:t>
      </w:r>
    </w:p>
    <w:p w14:paraId="6698895A" w14:textId="0CD81174" w:rsidR="003F7F36" w:rsidRPr="009C09AD" w:rsidRDefault="007F55EB" w:rsidP="007F55EB">
      <w:pPr>
        <w:rPr>
          <w:rFonts w:cstheme="minorHAnsi"/>
          <w:sz w:val="28"/>
          <w:szCs w:val="28"/>
          <w:lang w:val="en-US"/>
        </w:rPr>
      </w:pPr>
      <w:r w:rsidRPr="009C09AD">
        <w:rPr>
          <w:rFonts w:cstheme="minorHAnsi"/>
          <w:sz w:val="28"/>
          <w:szCs w:val="28"/>
          <w:lang w:val="en-US"/>
        </w:rPr>
        <w:t>This means that CAPM did not hold during the FOCM announcement and the period surrounding it.</w:t>
      </w:r>
    </w:p>
    <w:p w14:paraId="420B3528" w14:textId="3EBC07FE" w:rsidR="003F7F36" w:rsidRPr="009C09AD" w:rsidRDefault="003F7F36" w:rsidP="001B4B62">
      <w:pPr>
        <w:rPr>
          <w:rFonts w:cstheme="minorHAnsi"/>
          <w:b/>
          <w:bCs/>
          <w:sz w:val="40"/>
          <w:szCs w:val="40"/>
          <w:u w:val="single"/>
          <w:lang w:val="en-US"/>
        </w:rPr>
      </w:pPr>
      <w:r w:rsidRPr="009C09AD">
        <w:rPr>
          <w:rFonts w:cstheme="minorHAnsi"/>
          <w:b/>
          <w:bCs/>
          <w:sz w:val="40"/>
          <w:szCs w:val="40"/>
          <w:u w:val="single"/>
          <w:lang w:val="en-US"/>
        </w:rPr>
        <w:t>PART C</w:t>
      </w:r>
    </w:p>
    <w:p w14:paraId="6DFA9F7E" w14:textId="29A0C283" w:rsidR="005231EB" w:rsidRPr="009C09AD" w:rsidRDefault="00040517" w:rsidP="00626252">
      <w:pPr>
        <w:rPr>
          <w:rFonts w:cstheme="minorHAnsi"/>
          <w:sz w:val="28"/>
          <w:szCs w:val="28"/>
          <w:lang w:val="en-US"/>
        </w:rPr>
      </w:pPr>
      <w:r w:rsidRPr="009C09AD">
        <w:rPr>
          <w:rFonts w:cstheme="minorHAnsi"/>
          <w:sz w:val="28"/>
          <w:szCs w:val="28"/>
          <w:lang w:val="en-US"/>
        </w:rPr>
        <w:t>The FOMC announcements determine US monetary policies. These policies affect various aspects, such as interest rates on assets, asset valuation, and overall growth. People wait for these announcements, trying to predict policy changes and shifts. Because of such predictions and plans to mitigate the effect of these new policies, investors use various methods to overcome the adverse effects of these monetary policies. Such plans cause a residual, an excess return to be created. The CAPM works on the assumption of a linear relationship between risk and return. It employs a beta created using historical data.</w:t>
      </w:r>
    </w:p>
    <w:p w14:paraId="3D48BC21" w14:textId="08612E4C" w:rsidR="00BC082F" w:rsidRPr="009C09AD" w:rsidRDefault="00BC082F" w:rsidP="00BC082F">
      <w:pPr>
        <w:jc w:val="center"/>
        <w:rPr>
          <w:rFonts w:cstheme="minorHAnsi"/>
          <w:b/>
          <w:bCs/>
          <w:sz w:val="28"/>
          <w:szCs w:val="28"/>
        </w:rPr>
      </w:pPr>
      <w:r w:rsidRPr="009C09AD">
        <w:rPr>
          <w:rFonts w:cstheme="minorHAnsi"/>
          <w:b/>
          <w:bCs/>
          <w:sz w:val="28"/>
          <w:szCs w:val="28"/>
        </w:rPr>
        <w:lastRenderedPageBreak/>
        <w:t>E(R</w:t>
      </w:r>
      <w:r w:rsidRPr="009C09AD">
        <w:rPr>
          <w:rFonts w:cstheme="minorHAnsi"/>
          <w:b/>
          <w:bCs/>
          <w:sz w:val="28"/>
          <w:szCs w:val="28"/>
          <w:vertAlign w:val="subscript"/>
        </w:rPr>
        <w:t>i</w:t>
      </w:r>
      <w:r w:rsidRPr="009C09AD">
        <w:rPr>
          <w:rFonts w:cstheme="minorHAnsi"/>
          <w:b/>
          <w:bCs/>
          <w:sz w:val="28"/>
          <w:szCs w:val="28"/>
        </w:rPr>
        <w:t>​)</w:t>
      </w:r>
      <w:r w:rsidRPr="009C09AD">
        <w:rPr>
          <w:rFonts w:cstheme="minorHAnsi"/>
          <w:b/>
          <w:bCs/>
          <w:sz w:val="28"/>
          <w:szCs w:val="28"/>
          <w:vertAlign w:val="subscript"/>
        </w:rPr>
        <w:t xml:space="preserve"> ​</w:t>
      </w:r>
      <w:r w:rsidRPr="009C09AD">
        <w:rPr>
          <w:rFonts w:cstheme="minorHAnsi"/>
          <w:b/>
          <w:bCs/>
          <w:sz w:val="28"/>
          <w:szCs w:val="28"/>
        </w:rPr>
        <w:t>= R</w:t>
      </w:r>
      <w:r w:rsidRPr="009C09AD">
        <w:rPr>
          <w:rFonts w:cstheme="minorHAnsi"/>
          <w:b/>
          <w:bCs/>
          <w:sz w:val="28"/>
          <w:szCs w:val="28"/>
          <w:vertAlign w:val="subscript"/>
        </w:rPr>
        <w:t>f</w:t>
      </w:r>
      <w:r w:rsidRPr="009C09AD">
        <w:rPr>
          <w:rFonts w:cstheme="minorHAnsi"/>
          <w:b/>
          <w:bCs/>
          <w:sz w:val="28"/>
          <w:szCs w:val="28"/>
        </w:rPr>
        <w:t xml:space="preserve"> + β ​× (E(R</w:t>
      </w:r>
      <w:r w:rsidRPr="009C09AD">
        <w:rPr>
          <w:rFonts w:cstheme="minorHAnsi"/>
          <w:b/>
          <w:bCs/>
          <w:sz w:val="28"/>
          <w:szCs w:val="28"/>
          <w:vertAlign w:val="subscript"/>
        </w:rPr>
        <w:t>m</w:t>
      </w:r>
      <w:r w:rsidRPr="009C09AD">
        <w:rPr>
          <w:rFonts w:cstheme="minorHAnsi"/>
          <w:b/>
          <w:bCs/>
          <w:sz w:val="28"/>
          <w:szCs w:val="28"/>
        </w:rPr>
        <w:t>​)−R</w:t>
      </w:r>
      <w:r w:rsidRPr="009C09AD">
        <w:rPr>
          <w:rFonts w:cstheme="minorHAnsi"/>
          <w:b/>
          <w:bCs/>
          <w:sz w:val="28"/>
          <w:szCs w:val="28"/>
          <w:vertAlign w:val="subscript"/>
        </w:rPr>
        <w:t>f</w:t>
      </w:r>
      <w:r w:rsidRPr="009C09AD">
        <w:rPr>
          <w:rFonts w:cstheme="minorHAnsi"/>
          <w:b/>
          <w:bCs/>
          <w:sz w:val="28"/>
          <w:szCs w:val="28"/>
        </w:rPr>
        <w:t>​)</w:t>
      </w:r>
    </w:p>
    <w:p w14:paraId="66D98AF3" w14:textId="6C3919A9" w:rsidR="00BC082F" w:rsidRPr="009C09AD" w:rsidRDefault="00BC082F" w:rsidP="00BC082F">
      <w:pPr>
        <w:pStyle w:val="ListParagraph"/>
        <w:numPr>
          <w:ilvl w:val="0"/>
          <w:numId w:val="1"/>
        </w:numPr>
        <w:rPr>
          <w:rFonts w:cstheme="minorHAnsi"/>
          <w:sz w:val="28"/>
          <w:szCs w:val="28"/>
        </w:rPr>
      </w:pPr>
      <w:r w:rsidRPr="009C09AD">
        <w:rPr>
          <w:rFonts w:cstheme="minorHAnsi"/>
          <w:sz w:val="28"/>
          <w:szCs w:val="28"/>
        </w:rPr>
        <w:t>E(R</w:t>
      </w:r>
      <w:r w:rsidRPr="009C09AD">
        <w:rPr>
          <w:rFonts w:cstheme="minorHAnsi"/>
          <w:sz w:val="28"/>
          <w:szCs w:val="28"/>
          <w:vertAlign w:val="subscript"/>
        </w:rPr>
        <w:t>i</w:t>
      </w:r>
      <w:r w:rsidRPr="009C09AD">
        <w:rPr>
          <w:rFonts w:cstheme="minorHAnsi"/>
          <w:sz w:val="28"/>
          <w:szCs w:val="28"/>
        </w:rPr>
        <w:t>​)</w:t>
      </w:r>
      <w:r w:rsidRPr="009C09AD">
        <w:rPr>
          <w:rFonts w:cstheme="minorHAnsi"/>
          <w:sz w:val="28"/>
          <w:szCs w:val="28"/>
          <w:vertAlign w:val="subscript"/>
        </w:rPr>
        <w:t xml:space="preserve"> ​</w:t>
      </w:r>
      <w:r w:rsidRPr="009C09AD">
        <w:rPr>
          <w:rFonts w:cstheme="minorHAnsi"/>
          <w:sz w:val="28"/>
          <w:szCs w:val="28"/>
        </w:rPr>
        <w:t>= R</w:t>
      </w:r>
      <w:r w:rsidRPr="009C09AD">
        <w:rPr>
          <w:rFonts w:cstheme="minorHAnsi"/>
          <w:sz w:val="28"/>
          <w:szCs w:val="28"/>
          <w:vertAlign w:val="subscript"/>
        </w:rPr>
        <w:t>f</w:t>
      </w:r>
      <w:r w:rsidRPr="009C09AD">
        <w:rPr>
          <w:rFonts w:cstheme="minorHAnsi"/>
          <w:sz w:val="28"/>
          <w:szCs w:val="28"/>
        </w:rPr>
        <w:t xml:space="preserve"> + β ​× (E(R</w:t>
      </w:r>
      <w:r w:rsidRPr="009C09AD">
        <w:rPr>
          <w:rFonts w:cstheme="minorHAnsi"/>
          <w:sz w:val="28"/>
          <w:szCs w:val="28"/>
          <w:vertAlign w:val="subscript"/>
        </w:rPr>
        <w:t>m</w:t>
      </w:r>
      <w:r w:rsidRPr="009C09AD">
        <w:rPr>
          <w:rFonts w:cstheme="minorHAnsi"/>
          <w:sz w:val="28"/>
          <w:szCs w:val="28"/>
        </w:rPr>
        <w:t>​)−R</w:t>
      </w:r>
      <w:r w:rsidRPr="009C09AD">
        <w:rPr>
          <w:rFonts w:cstheme="minorHAnsi"/>
          <w:sz w:val="28"/>
          <w:szCs w:val="28"/>
          <w:vertAlign w:val="subscript"/>
        </w:rPr>
        <w:t>f</w:t>
      </w:r>
      <w:r w:rsidRPr="009C09AD">
        <w:rPr>
          <w:rFonts w:cstheme="minorHAnsi"/>
          <w:sz w:val="28"/>
          <w:szCs w:val="28"/>
        </w:rPr>
        <w:t>​)</w:t>
      </w:r>
    </w:p>
    <w:p w14:paraId="16A710D0" w14:textId="1E479A27" w:rsidR="00BC082F" w:rsidRPr="009C09AD" w:rsidRDefault="00BC082F" w:rsidP="00BC082F">
      <w:pPr>
        <w:pStyle w:val="ListParagraph"/>
        <w:numPr>
          <w:ilvl w:val="0"/>
          <w:numId w:val="1"/>
        </w:numPr>
        <w:rPr>
          <w:rFonts w:cstheme="minorHAnsi"/>
          <w:sz w:val="28"/>
          <w:szCs w:val="28"/>
        </w:rPr>
      </w:pPr>
      <w:r w:rsidRPr="009C09AD">
        <w:rPr>
          <w:rFonts w:cstheme="minorHAnsi"/>
          <w:sz w:val="28"/>
          <w:szCs w:val="28"/>
        </w:rPr>
        <w:t>E(R</w:t>
      </w:r>
      <w:r w:rsidRPr="009C09AD">
        <w:rPr>
          <w:rFonts w:cstheme="minorHAnsi"/>
          <w:sz w:val="28"/>
          <w:szCs w:val="28"/>
          <w:vertAlign w:val="subscript"/>
        </w:rPr>
        <w:t>i</w:t>
      </w:r>
      <w:r w:rsidRPr="009C09AD">
        <w:rPr>
          <w:rFonts w:cstheme="minorHAnsi"/>
          <w:sz w:val="28"/>
          <w:szCs w:val="28"/>
        </w:rPr>
        <w:t>​)</w:t>
      </w:r>
      <w:r w:rsidR="003E0B63" w:rsidRPr="009C09AD">
        <w:rPr>
          <w:rFonts w:cstheme="minorHAnsi"/>
          <w:sz w:val="28"/>
          <w:szCs w:val="28"/>
        </w:rPr>
        <w:t xml:space="preserve"> - R</w:t>
      </w:r>
      <w:r w:rsidR="003E0B63" w:rsidRPr="009C09AD">
        <w:rPr>
          <w:rFonts w:cstheme="minorHAnsi"/>
          <w:sz w:val="28"/>
          <w:szCs w:val="28"/>
          <w:vertAlign w:val="subscript"/>
        </w:rPr>
        <w:t>f</w:t>
      </w:r>
      <w:r w:rsidRPr="009C09AD">
        <w:rPr>
          <w:rFonts w:cstheme="minorHAnsi"/>
          <w:sz w:val="28"/>
          <w:szCs w:val="28"/>
          <w:vertAlign w:val="subscript"/>
        </w:rPr>
        <w:t xml:space="preserve"> </w:t>
      </w:r>
      <w:r w:rsidR="003E0B63" w:rsidRPr="009C09AD">
        <w:rPr>
          <w:rFonts w:cstheme="minorHAnsi"/>
          <w:sz w:val="28"/>
          <w:szCs w:val="28"/>
          <w:vertAlign w:val="subscript"/>
        </w:rPr>
        <w:t xml:space="preserve"> </w:t>
      </w:r>
      <w:r w:rsidRPr="009C09AD">
        <w:rPr>
          <w:rFonts w:cstheme="minorHAnsi"/>
          <w:sz w:val="28"/>
          <w:szCs w:val="28"/>
          <w:vertAlign w:val="subscript"/>
        </w:rPr>
        <w:t>​</w:t>
      </w:r>
      <w:r w:rsidRPr="009C09AD">
        <w:rPr>
          <w:rFonts w:cstheme="minorHAnsi"/>
          <w:sz w:val="28"/>
          <w:szCs w:val="28"/>
        </w:rPr>
        <w:t>= β ​× (E(R</w:t>
      </w:r>
      <w:r w:rsidRPr="009C09AD">
        <w:rPr>
          <w:rFonts w:cstheme="minorHAnsi"/>
          <w:sz w:val="28"/>
          <w:szCs w:val="28"/>
          <w:vertAlign w:val="subscript"/>
        </w:rPr>
        <w:t>m</w:t>
      </w:r>
      <w:r w:rsidRPr="009C09AD">
        <w:rPr>
          <w:rFonts w:cstheme="minorHAnsi"/>
          <w:sz w:val="28"/>
          <w:szCs w:val="28"/>
        </w:rPr>
        <w:t>​)−R</w:t>
      </w:r>
      <w:r w:rsidRPr="009C09AD">
        <w:rPr>
          <w:rFonts w:cstheme="minorHAnsi"/>
          <w:sz w:val="28"/>
          <w:szCs w:val="28"/>
          <w:vertAlign w:val="subscript"/>
        </w:rPr>
        <w:t>f</w:t>
      </w:r>
      <w:r w:rsidRPr="009C09AD">
        <w:rPr>
          <w:rFonts w:cstheme="minorHAnsi"/>
          <w:sz w:val="28"/>
          <w:szCs w:val="28"/>
        </w:rPr>
        <w:t>​)</w:t>
      </w:r>
    </w:p>
    <w:p w14:paraId="19765E22" w14:textId="77777777" w:rsidR="003E0B63" w:rsidRPr="009C09AD" w:rsidRDefault="003E0B63" w:rsidP="003E0B63">
      <w:pPr>
        <w:pStyle w:val="ListParagraph"/>
        <w:numPr>
          <w:ilvl w:val="0"/>
          <w:numId w:val="1"/>
        </w:numPr>
        <w:rPr>
          <w:rFonts w:cstheme="minorHAnsi"/>
          <w:sz w:val="28"/>
          <w:szCs w:val="28"/>
        </w:rPr>
      </w:pPr>
      <w:r w:rsidRPr="009C09AD">
        <w:rPr>
          <w:rFonts w:cstheme="minorHAnsi"/>
          <w:sz w:val="28"/>
          <w:szCs w:val="28"/>
        </w:rPr>
        <w:t>Β = (E(R</w:t>
      </w:r>
      <w:r w:rsidRPr="009C09AD">
        <w:rPr>
          <w:rFonts w:cstheme="minorHAnsi"/>
          <w:sz w:val="28"/>
          <w:szCs w:val="28"/>
          <w:vertAlign w:val="subscript"/>
        </w:rPr>
        <w:t>i</w:t>
      </w:r>
      <w:r w:rsidRPr="009C09AD">
        <w:rPr>
          <w:rFonts w:cstheme="minorHAnsi"/>
          <w:sz w:val="28"/>
          <w:szCs w:val="28"/>
        </w:rPr>
        <w:t>​) - R</w:t>
      </w:r>
      <w:r w:rsidRPr="009C09AD">
        <w:rPr>
          <w:rFonts w:cstheme="minorHAnsi"/>
          <w:sz w:val="28"/>
          <w:szCs w:val="28"/>
          <w:vertAlign w:val="subscript"/>
        </w:rPr>
        <w:t>f</w:t>
      </w:r>
      <w:r w:rsidRPr="009C09AD">
        <w:rPr>
          <w:rFonts w:cstheme="minorHAnsi"/>
          <w:sz w:val="28"/>
          <w:szCs w:val="28"/>
        </w:rPr>
        <w:t>) / (E(R</w:t>
      </w:r>
      <w:r w:rsidRPr="009C09AD">
        <w:rPr>
          <w:rFonts w:cstheme="minorHAnsi"/>
          <w:sz w:val="28"/>
          <w:szCs w:val="28"/>
          <w:vertAlign w:val="subscript"/>
        </w:rPr>
        <w:t>m</w:t>
      </w:r>
      <w:r w:rsidRPr="009C09AD">
        <w:rPr>
          <w:rFonts w:cstheme="minorHAnsi"/>
          <w:sz w:val="28"/>
          <w:szCs w:val="28"/>
        </w:rPr>
        <w:t>​)−R</w:t>
      </w:r>
      <w:r w:rsidRPr="009C09AD">
        <w:rPr>
          <w:rFonts w:cstheme="minorHAnsi"/>
          <w:sz w:val="28"/>
          <w:szCs w:val="28"/>
          <w:vertAlign w:val="subscript"/>
        </w:rPr>
        <w:t>f</w:t>
      </w:r>
      <w:r w:rsidRPr="009C09AD">
        <w:rPr>
          <w:rFonts w:cstheme="minorHAnsi"/>
          <w:sz w:val="28"/>
          <w:szCs w:val="28"/>
        </w:rPr>
        <w:t>​)</w:t>
      </w:r>
    </w:p>
    <w:p w14:paraId="27C23D3A" w14:textId="05D57D5E" w:rsidR="00BC082F" w:rsidRPr="009C09AD" w:rsidRDefault="003E0B63" w:rsidP="00BC082F">
      <w:pPr>
        <w:pStyle w:val="ListParagraph"/>
        <w:numPr>
          <w:ilvl w:val="0"/>
          <w:numId w:val="1"/>
        </w:numPr>
        <w:rPr>
          <w:rFonts w:cstheme="minorHAnsi"/>
          <w:sz w:val="28"/>
          <w:szCs w:val="28"/>
        </w:rPr>
      </w:pPr>
      <w:r w:rsidRPr="009C09AD">
        <w:rPr>
          <w:rFonts w:cstheme="minorHAnsi"/>
          <w:sz w:val="28"/>
          <w:szCs w:val="28"/>
        </w:rPr>
        <w:t>Beta Calculated using historical data</w:t>
      </w:r>
      <w:r w:rsidR="001000F9" w:rsidRPr="009C09AD">
        <w:rPr>
          <w:rFonts w:cstheme="minorHAnsi"/>
          <w:sz w:val="28"/>
          <w:szCs w:val="28"/>
        </w:rPr>
        <w:t xml:space="preserve"> is the slope</w:t>
      </w:r>
    </w:p>
    <w:p w14:paraId="3C55CEA5" w14:textId="1CC4D85E" w:rsidR="00C874F5" w:rsidRPr="009C09AD" w:rsidRDefault="00C874F5" w:rsidP="00C874F5">
      <w:pPr>
        <w:rPr>
          <w:rFonts w:cstheme="minorHAnsi"/>
          <w:sz w:val="28"/>
          <w:szCs w:val="28"/>
        </w:rPr>
      </w:pPr>
      <w:r w:rsidRPr="009C09AD">
        <w:rPr>
          <w:rFonts w:cstheme="minorHAnsi"/>
          <w:sz w:val="28"/>
          <w:szCs w:val="28"/>
        </w:rPr>
        <w:t>E(R</w:t>
      </w:r>
      <w:r w:rsidRPr="009C09AD">
        <w:rPr>
          <w:rFonts w:cstheme="minorHAnsi"/>
          <w:sz w:val="28"/>
          <w:szCs w:val="28"/>
          <w:vertAlign w:val="subscript"/>
        </w:rPr>
        <w:t>i</w:t>
      </w:r>
      <w:r w:rsidRPr="009C09AD">
        <w:rPr>
          <w:rFonts w:cstheme="minorHAnsi"/>
          <w:sz w:val="28"/>
          <w:szCs w:val="28"/>
        </w:rPr>
        <w:t>​) = Rep</w:t>
      </w:r>
      <w:r w:rsidR="007927AA" w:rsidRPr="009C09AD">
        <w:rPr>
          <w:rFonts w:cstheme="minorHAnsi"/>
          <w:sz w:val="28"/>
          <w:szCs w:val="28"/>
        </w:rPr>
        <w:t>resents the expected return</w:t>
      </w:r>
    </w:p>
    <w:p w14:paraId="6C852985" w14:textId="77777777" w:rsidR="001000F9" w:rsidRPr="009C09AD" w:rsidRDefault="007927AA" w:rsidP="00C874F5">
      <w:pPr>
        <w:rPr>
          <w:rFonts w:cstheme="minorHAnsi"/>
          <w:sz w:val="28"/>
          <w:szCs w:val="28"/>
        </w:rPr>
      </w:pPr>
      <w:r w:rsidRPr="009C09AD">
        <w:rPr>
          <w:rFonts w:cstheme="minorHAnsi"/>
          <w:sz w:val="28"/>
          <w:szCs w:val="28"/>
        </w:rPr>
        <w:t>R</w:t>
      </w:r>
      <w:r w:rsidRPr="009C09AD">
        <w:rPr>
          <w:rFonts w:cstheme="minorHAnsi"/>
          <w:sz w:val="28"/>
          <w:szCs w:val="28"/>
          <w:vertAlign w:val="subscript"/>
        </w:rPr>
        <w:t>f</w:t>
      </w:r>
      <w:r w:rsidRPr="009C09AD">
        <w:rPr>
          <w:rFonts w:cstheme="minorHAnsi"/>
          <w:sz w:val="28"/>
          <w:szCs w:val="28"/>
        </w:rPr>
        <w:t xml:space="preserve"> = Represents the </w:t>
      </w:r>
      <w:r w:rsidR="001000F9" w:rsidRPr="009C09AD">
        <w:rPr>
          <w:rFonts w:cstheme="minorHAnsi"/>
          <w:sz w:val="28"/>
          <w:szCs w:val="28"/>
        </w:rPr>
        <w:t>Market Risk</w:t>
      </w:r>
    </w:p>
    <w:p w14:paraId="64A35E84" w14:textId="2C4A5E4A" w:rsidR="001000F9" w:rsidRPr="009C09AD" w:rsidRDefault="007927AA" w:rsidP="00C874F5">
      <w:pPr>
        <w:rPr>
          <w:rFonts w:cstheme="minorHAnsi"/>
          <w:sz w:val="28"/>
          <w:szCs w:val="28"/>
        </w:rPr>
      </w:pPr>
      <w:r w:rsidRPr="009C09AD">
        <w:rPr>
          <w:rFonts w:cstheme="minorHAnsi"/>
          <w:sz w:val="28"/>
          <w:szCs w:val="28"/>
        </w:rPr>
        <w:t xml:space="preserve"> </w:t>
      </w:r>
      <w:r w:rsidR="001000F9" w:rsidRPr="009C09AD">
        <w:rPr>
          <w:rFonts w:cstheme="minorHAnsi"/>
          <w:sz w:val="28"/>
          <w:szCs w:val="28"/>
        </w:rPr>
        <w:t>E(R</w:t>
      </w:r>
      <w:r w:rsidR="001000F9" w:rsidRPr="009C09AD">
        <w:rPr>
          <w:rFonts w:cstheme="minorHAnsi"/>
          <w:sz w:val="28"/>
          <w:szCs w:val="28"/>
          <w:vertAlign w:val="subscript"/>
        </w:rPr>
        <w:t>m</w:t>
      </w:r>
      <w:r w:rsidR="001000F9" w:rsidRPr="009C09AD">
        <w:rPr>
          <w:rFonts w:cstheme="minorHAnsi"/>
          <w:sz w:val="28"/>
          <w:szCs w:val="28"/>
        </w:rPr>
        <w:t>​) = Represents the Market Return</w:t>
      </w:r>
    </w:p>
    <w:p w14:paraId="501C4AB0" w14:textId="13820B4B" w:rsidR="001000F9" w:rsidRPr="009C09AD" w:rsidRDefault="001000F9" w:rsidP="00C874F5">
      <w:pPr>
        <w:rPr>
          <w:rFonts w:cstheme="minorHAnsi"/>
          <w:sz w:val="28"/>
          <w:szCs w:val="28"/>
        </w:rPr>
      </w:pPr>
      <w:r w:rsidRPr="009C09AD">
        <w:rPr>
          <w:rFonts w:cstheme="minorHAnsi"/>
          <w:sz w:val="28"/>
          <w:szCs w:val="28"/>
        </w:rPr>
        <w:t>(E(R</w:t>
      </w:r>
      <w:r w:rsidRPr="009C09AD">
        <w:rPr>
          <w:rFonts w:cstheme="minorHAnsi"/>
          <w:sz w:val="28"/>
          <w:szCs w:val="28"/>
          <w:vertAlign w:val="subscript"/>
        </w:rPr>
        <w:t>m</w:t>
      </w:r>
      <w:r w:rsidRPr="009C09AD">
        <w:rPr>
          <w:rFonts w:cstheme="minorHAnsi"/>
          <w:sz w:val="28"/>
          <w:szCs w:val="28"/>
        </w:rPr>
        <w:t>​)−R</w:t>
      </w:r>
      <w:r w:rsidRPr="009C09AD">
        <w:rPr>
          <w:rFonts w:cstheme="minorHAnsi"/>
          <w:sz w:val="28"/>
          <w:szCs w:val="28"/>
          <w:vertAlign w:val="subscript"/>
        </w:rPr>
        <w:t>f</w:t>
      </w:r>
      <w:r w:rsidRPr="009C09AD">
        <w:rPr>
          <w:rFonts w:cstheme="minorHAnsi"/>
          <w:sz w:val="28"/>
          <w:szCs w:val="28"/>
        </w:rPr>
        <w:t xml:space="preserve">​) = represents the </w:t>
      </w:r>
      <w:r w:rsidR="00A01005" w:rsidRPr="009C09AD">
        <w:rPr>
          <w:rFonts w:cstheme="minorHAnsi"/>
          <w:sz w:val="28"/>
          <w:szCs w:val="28"/>
        </w:rPr>
        <w:t>Market Risk premium</w:t>
      </w:r>
    </w:p>
    <w:p w14:paraId="5BECDBE9" w14:textId="77777777" w:rsidR="00FC260D" w:rsidRPr="009C09AD" w:rsidRDefault="00FC260D" w:rsidP="00FC260D">
      <w:pPr>
        <w:rPr>
          <w:rFonts w:cstheme="minorHAnsi"/>
          <w:sz w:val="28"/>
          <w:szCs w:val="28"/>
          <w:lang w:val="en-US"/>
        </w:rPr>
      </w:pPr>
      <w:r w:rsidRPr="009C09AD">
        <w:rPr>
          <w:rFonts w:cstheme="minorHAnsi"/>
          <w:sz w:val="28"/>
          <w:szCs w:val="28"/>
        </w:rPr>
        <w:t xml:space="preserve">This beta, calculated using historical data, will not consider the volatile pricing returns that investors create for a short period during FOMC announcements to get ahead of the curve, allowing them to gain an edge in the market. The results of the analysis done in PART B, where CAPM fails to hold during the FOMC announcements, can be explained by various factors – </w:t>
      </w:r>
    </w:p>
    <w:p w14:paraId="1C50EDD0" w14:textId="3C0223AC" w:rsidR="00D067D4" w:rsidRPr="009C09AD" w:rsidRDefault="005668D6" w:rsidP="001C6EC9">
      <w:pPr>
        <w:pStyle w:val="ListParagraph"/>
        <w:numPr>
          <w:ilvl w:val="0"/>
          <w:numId w:val="3"/>
        </w:numPr>
        <w:rPr>
          <w:rFonts w:cstheme="minorHAnsi"/>
          <w:sz w:val="28"/>
          <w:szCs w:val="28"/>
          <w:lang w:val="en-US"/>
        </w:rPr>
      </w:pPr>
      <w:r w:rsidRPr="009C09AD">
        <w:rPr>
          <w:rFonts w:cstheme="minorHAnsi"/>
          <w:b/>
          <w:bCs/>
          <w:sz w:val="28"/>
          <w:szCs w:val="28"/>
          <w:lang w:val="en-US"/>
        </w:rPr>
        <w:t xml:space="preserve">Increased Market Volatility </w:t>
      </w:r>
      <w:r w:rsidR="00C01ED1" w:rsidRPr="009C09AD">
        <w:rPr>
          <w:rFonts w:cstheme="minorHAnsi"/>
          <w:b/>
          <w:bCs/>
          <w:sz w:val="28"/>
          <w:szCs w:val="28"/>
          <w:lang w:val="en-US"/>
        </w:rPr>
        <w:t>–</w:t>
      </w:r>
      <w:r w:rsidRPr="009C09AD">
        <w:rPr>
          <w:rFonts w:cstheme="minorHAnsi"/>
          <w:b/>
          <w:bCs/>
          <w:sz w:val="28"/>
          <w:szCs w:val="28"/>
          <w:lang w:val="en-US"/>
        </w:rPr>
        <w:t xml:space="preserve"> </w:t>
      </w:r>
      <w:r w:rsidR="00FC0E60" w:rsidRPr="009C09AD">
        <w:rPr>
          <w:rFonts w:cstheme="minorHAnsi"/>
          <w:sz w:val="28"/>
          <w:szCs w:val="28"/>
          <w:lang w:val="en-US"/>
        </w:rPr>
        <w:t>FOMC announcements come with high uncertainty about policy changes and shifts. These uncertainties manifest themselves in the form of volatile changes in the asset's market price. CAPM helps make predictions by assuming a linear relationship between the risk and the return. Such volatilities add noise to the system, which may affect the Beta, which assumes this linear relationship. These volatilities occurring for short periods around the FOMC announcement may cause issues in the expected returns, which are maintained and calculated using a running historical Beta. During periods of such high volatility, the Beta might not accurately represent an asset's risk. Thus</w:t>
      </w:r>
      <w:r w:rsidR="00CA585A" w:rsidRPr="009C09AD">
        <w:rPr>
          <w:rFonts w:cstheme="minorHAnsi"/>
          <w:sz w:val="28"/>
          <w:szCs w:val="28"/>
          <w:lang w:val="en-US"/>
        </w:rPr>
        <w:t>,</w:t>
      </w:r>
      <w:r w:rsidR="00FC0E60" w:rsidRPr="009C09AD">
        <w:rPr>
          <w:rFonts w:cstheme="minorHAnsi"/>
          <w:sz w:val="28"/>
          <w:szCs w:val="28"/>
          <w:lang w:val="en-US"/>
        </w:rPr>
        <w:t xml:space="preserve"> making CAPM ineffective for these short periods. In a paper proposed by </w:t>
      </w:r>
      <w:r w:rsidR="008B38F0" w:rsidRPr="009C09AD">
        <w:rPr>
          <w:rFonts w:cstheme="minorHAnsi"/>
          <w:sz w:val="28"/>
          <w:szCs w:val="28"/>
          <w:lang w:val="en-US"/>
        </w:rPr>
        <w:t>(</w:t>
      </w:r>
      <w:r w:rsidR="00DF450B" w:rsidRPr="009C09AD">
        <w:rPr>
          <w:rFonts w:cstheme="minorHAnsi"/>
          <w:sz w:val="28"/>
          <w:szCs w:val="28"/>
          <w:lang w:val="en-US"/>
        </w:rPr>
        <w:t>Bodilsen et al., 2021)</w:t>
      </w:r>
      <w:r w:rsidR="00FC0E60" w:rsidRPr="009C09AD">
        <w:rPr>
          <w:rFonts w:cstheme="minorHAnsi"/>
          <w:sz w:val="28"/>
          <w:szCs w:val="28"/>
          <w:lang w:val="en-US"/>
        </w:rPr>
        <w:t>, the author shows an analysis that predicts the relationship between a portfolio's Beta and the excess return (residual). The author shows that this relationship is strong on the period surrounding the announcement and is weak during the NON FOMC announcement days.  They also added that cross-sectional beta dispersion, which is beta values across different stocks, reduces on announcement days, suggesting that an increase in the value of the market's volatility results in the unreliability of the Beta.</w:t>
      </w:r>
    </w:p>
    <w:p w14:paraId="3841D603" w14:textId="77777777" w:rsidR="00924B84" w:rsidRPr="009C09AD" w:rsidRDefault="00924B84" w:rsidP="00924B84">
      <w:pPr>
        <w:pStyle w:val="ListParagraph"/>
        <w:ind w:left="360"/>
        <w:rPr>
          <w:rFonts w:cstheme="minorHAnsi"/>
          <w:sz w:val="28"/>
          <w:szCs w:val="28"/>
          <w:lang w:val="en-US"/>
        </w:rPr>
      </w:pPr>
    </w:p>
    <w:p w14:paraId="7C54EF90" w14:textId="39905B02" w:rsidR="006C3D9A" w:rsidRPr="009C09AD" w:rsidRDefault="00701EA1" w:rsidP="009C09AD">
      <w:pPr>
        <w:rPr>
          <w:rFonts w:cstheme="minorHAnsi"/>
          <w:sz w:val="28"/>
          <w:szCs w:val="28"/>
          <w:lang w:val="en-US"/>
        </w:rPr>
      </w:pPr>
      <w:r w:rsidRPr="009C09AD">
        <w:rPr>
          <w:rFonts w:cstheme="minorHAnsi"/>
          <w:b/>
          <w:bCs/>
          <w:sz w:val="28"/>
          <w:szCs w:val="28"/>
          <w:lang w:val="en-US"/>
        </w:rPr>
        <w:t xml:space="preserve">Speculation and Bias </w:t>
      </w:r>
      <w:r w:rsidR="00967F1F" w:rsidRPr="009C09AD">
        <w:rPr>
          <w:rFonts w:cstheme="minorHAnsi"/>
          <w:b/>
          <w:bCs/>
          <w:sz w:val="28"/>
          <w:szCs w:val="28"/>
          <w:lang w:val="en-US"/>
        </w:rPr>
        <w:t>–</w:t>
      </w:r>
      <w:r w:rsidRPr="009C09AD">
        <w:rPr>
          <w:rFonts w:cstheme="minorHAnsi"/>
          <w:b/>
          <w:bCs/>
          <w:sz w:val="28"/>
          <w:szCs w:val="28"/>
          <w:lang w:val="en-US"/>
        </w:rPr>
        <w:t xml:space="preserve"> </w:t>
      </w:r>
      <w:r w:rsidR="00517C6F" w:rsidRPr="009C09AD">
        <w:rPr>
          <w:rFonts w:cstheme="minorHAnsi"/>
          <w:sz w:val="28"/>
          <w:szCs w:val="28"/>
          <w:lang w:val="en-US"/>
        </w:rPr>
        <w:t xml:space="preserve">Investors may react poorly to the announcements of the FOMC, which might trigger herd </w:t>
      </w:r>
      <w:r w:rsidR="00BA0FFA" w:rsidRPr="009C09AD">
        <w:rPr>
          <w:rFonts w:cstheme="minorHAnsi"/>
          <w:sz w:val="28"/>
          <w:szCs w:val="28"/>
          <w:lang w:val="en-US"/>
        </w:rPr>
        <w:t>behavior</w:t>
      </w:r>
      <w:r w:rsidR="00517C6F" w:rsidRPr="009C09AD">
        <w:rPr>
          <w:rFonts w:cstheme="minorHAnsi"/>
          <w:sz w:val="28"/>
          <w:szCs w:val="28"/>
          <w:lang w:val="en-US"/>
        </w:rPr>
        <w:t xml:space="preserve"> or overreaction from the investors. Such views can cause the new price to differ significantly from the expected price. Because of this, we can see residuals being produced, which can cause an asset to either overperform or underperform. For example, a fear of rising interest rates can cause people to sell interest-rate-sensitive assets. Such things cannot be predicted and handled by CAPM. A study identified a pre-FOMC drift where excess residuals are received in anticipation of these announcements </w:t>
      </w:r>
      <w:r w:rsidR="009C09AD" w:rsidRPr="009C09AD">
        <w:rPr>
          <w:rFonts w:cstheme="minorHAnsi"/>
          <w:sz w:val="28"/>
          <w:szCs w:val="28"/>
          <w:lang w:val="en-US"/>
        </w:rPr>
        <w:lastRenderedPageBreak/>
        <w:t>(</w:t>
      </w:r>
      <w:r w:rsidR="009C09AD" w:rsidRPr="009C09AD">
        <w:rPr>
          <w:rFonts w:eastAsia="Times New Roman" w:cstheme="minorHAnsi"/>
          <w:kern w:val="0"/>
          <w:sz w:val="24"/>
          <w:szCs w:val="24"/>
          <w:lang w:val="en-IN" w:eastAsia="en-IN" w:bidi="ar-SA"/>
          <w14:ligatures w14:val="none"/>
        </w:rPr>
        <w:t>LUCCA,</w:t>
      </w:r>
      <w:r w:rsidR="009C09AD" w:rsidRPr="009C09AD">
        <w:rPr>
          <w:rFonts w:eastAsia="Times New Roman" w:cstheme="minorHAnsi"/>
          <w:kern w:val="0"/>
          <w:sz w:val="24"/>
          <w:szCs w:val="24"/>
          <w:lang w:val="en-IN" w:eastAsia="en-IN" w:bidi="ar-SA"/>
          <w14:ligatures w14:val="none"/>
        </w:rPr>
        <w:t xml:space="preserve"> 2015</w:t>
      </w:r>
      <w:r w:rsidR="009C09AD" w:rsidRPr="009C09AD">
        <w:rPr>
          <w:rFonts w:cstheme="minorHAnsi"/>
          <w:sz w:val="28"/>
          <w:szCs w:val="28"/>
          <w:lang w:val="en-US"/>
        </w:rPr>
        <w:t>)</w:t>
      </w:r>
      <w:r w:rsidR="00517C6F" w:rsidRPr="009C09AD">
        <w:rPr>
          <w:rFonts w:cstheme="minorHAnsi"/>
          <w:sz w:val="28"/>
          <w:szCs w:val="28"/>
          <w:lang w:val="en-US"/>
        </w:rPr>
        <w:t>. The Author attributed these excess returns to the reallocation,  news announcements and volatility</w:t>
      </w:r>
    </w:p>
    <w:p w14:paraId="6AC40085" w14:textId="77777777" w:rsidR="006C3D9A" w:rsidRPr="009C09AD" w:rsidRDefault="006C3D9A" w:rsidP="006C3D9A">
      <w:pPr>
        <w:pStyle w:val="ListParagraph"/>
        <w:ind w:left="360"/>
        <w:rPr>
          <w:rFonts w:cstheme="minorHAnsi"/>
          <w:sz w:val="28"/>
          <w:szCs w:val="28"/>
          <w:lang w:val="en-US"/>
        </w:rPr>
      </w:pPr>
    </w:p>
    <w:p w14:paraId="64C68CCB" w14:textId="1DF661C0" w:rsidR="002E2FD6" w:rsidRPr="009C09AD" w:rsidRDefault="00A35AB1" w:rsidP="002E2FD6">
      <w:pPr>
        <w:pStyle w:val="ListParagraph"/>
        <w:numPr>
          <w:ilvl w:val="0"/>
          <w:numId w:val="3"/>
        </w:numPr>
        <w:rPr>
          <w:rFonts w:cstheme="minorHAnsi"/>
          <w:sz w:val="28"/>
          <w:szCs w:val="28"/>
          <w:lang w:val="en-US"/>
        </w:rPr>
      </w:pPr>
      <w:r w:rsidRPr="009C09AD">
        <w:rPr>
          <w:rFonts w:cstheme="minorHAnsi"/>
          <w:b/>
          <w:bCs/>
          <w:sz w:val="28"/>
          <w:szCs w:val="28"/>
          <w:lang w:val="en-US"/>
        </w:rPr>
        <w:t xml:space="preserve">Systematic </w:t>
      </w:r>
      <w:r w:rsidR="0051589B" w:rsidRPr="009C09AD">
        <w:rPr>
          <w:rFonts w:cstheme="minorHAnsi"/>
          <w:b/>
          <w:bCs/>
          <w:sz w:val="28"/>
          <w:szCs w:val="28"/>
          <w:lang w:val="en-US"/>
        </w:rPr>
        <w:t xml:space="preserve">Risk </w:t>
      </w:r>
      <w:r w:rsidR="00D64F61" w:rsidRPr="009C09AD">
        <w:rPr>
          <w:rFonts w:cstheme="minorHAnsi"/>
          <w:b/>
          <w:bCs/>
          <w:sz w:val="28"/>
          <w:szCs w:val="28"/>
          <w:lang w:val="en-US"/>
        </w:rPr>
        <w:t>–</w:t>
      </w:r>
      <w:r w:rsidR="0051589B" w:rsidRPr="009C09AD">
        <w:rPr>
          <w:rFonts w:cstheme="minorHAnsi"/>
          <w:b/>
          <w:bCs/>
          <w:sz w:val="28"/>
          <w:szCs w:val="28"/>
          <w:lang w:val="en-US"/>
        </w:rPr>
        <w:t xml:space="preserve"> </w:t>
      </w:r>
      <w:r w:rsidR="00844BF2" w:rsidRPr="009C09AD">
        <w:rPr>
          <w:rFonts w:cstheme="minorHAnsi"/>
          <w:sz w:val="28"/>
          <w:szCs w:val="28"/>
          <w:lang w:val="en-US"/>
        </w:rPr>
        <w:t xml:space="preserve">·Investor sentiment affects market risk. Such risks cannot be reduced. If an FOMC decision appears to cause changes to growth and inflation, the beta values of assets can change because of the insight into the future incoming risk. This makes CAPM, which uses beta calculated using historical data, less accurate in predicting expected return. This can cause residual excess return because of the difference between the actual return and the return calculated using CAPM. </w:t>
      </w:r>
      <w:r w:rsidR="00B77C6E" w:rsidRPr="00B77C6E">
        <w:rPr>
          <w:rFonts w:cstheme="minorHAnsi"/>
          <w:sz w:val="28"/>
          <w:szCs w:val="28"/>
          <w:lang w:val="en-US"/>
        </w:rPr>
        <w:t>("Investor sentiment and the pre-FOMC announcement drift," n.d.)</w:t>
      </w:r>
      <w:r w:rsidR="00844BF2" w:rsidRPr="009C09AD">
        <w:rPr>
          <w:rFonts w:cstheme="minorHAnsi"/>
          <w:sz w:val="28"/>
          <w:szCs w:val="28"/>
          <w:lang w:val="en-US"/>
        </w:rPr>
        <w:t xml:space="preserve"> describes how investor sentiment about the perception of future risk and pre-FOMC announcement can show a fall image of the asset valuation or price. This distortion will affect the beta calculated, which is used by CAPM, making it less effective. The study states that the positive sentiment toward the FOMC announcement shows a flaw in CAPM’s accuracy.</w:t>
      </w:r>
    </w:p>
    <w:p w14:paraId="5134FA0A" w14:textId="77777777" w:rsidR="00226560" w:rsidRPr="009C09AD" w:rsidRDefault="00226560" w:rsidP="00226560">
      <w:pPr>
        <w:pStyle w:val="ListParagraph"/>
        <w:ind w:left="360"/>
        <w:rPr>
          <w:rFonts w:cstheme="minorHAnsi"/>
          <w:sz w:val="28"/>
          <w:szCs w:val="28"/>
          <w:lang w:val="en-US"/>
        </w:rPr>
      </w:pPr>
    </w:p>
    <w:p w14:paraId="493449DF" w14:textId="77777777" w:rsidR="0066339A" w:rsidRPr="009C09AD" w:rsidRDefault="00873D65" w:rsidP="00A865EE">
      <w:pPr>
        <w:pStyle w:val="ListParagraph"/>
        <w:numPr>
          <w:ilvl w:val="0"/>
          <w:numId w:val="3"/>
        </w:numPr>
        <w:rPr>
          <w:rFonts w:cstheme="minorHAnsi"/>
          <w:sz w:val="28"/>
          <w:szCs w:val="28"/>
          <w:lang w:val="en-US"/>
        </w:rPr>
      </w:pPr>
      <w:r w:rsidRPr="009C09AD">
        <w:rPr>
          <w:rFonts w:cstheme="minorHAnsi"/>
          <w:b/>
          <w:bCs/>
          <w:sz w:val="28"/>
          <w:szCs w:val="28"/>
          <w:lang w:val="en-US"/>
        </w:rPr>
        <w:t>Asset Rebalance –</w:t>
      </w:r>
      <w:r w:rsidRPr="009C09AD">
        <w:rPr>
          <w:rFonts w:cstheme="minorHAnsi"/>
          <w:sz w:val="28"/>
          <w:szCs w:val="28"/>
          <w:lang w:val="en-US"/>
        </w:rPr>
        <w:t xml:space="preserve"> </w:t>
      </w:r>
      <w:r w:rsidR="00A146B8" w:rsidRPr="009C09AD">
        <w:rPr>
          <w:rFonts w:cstheme="minorHAnsi"/>
          <w:sz w:val="28"/>
          <w:szCs w:val="28"/>
          <w:lang w:val="en-US"/>
        </w:rPr>
        <w:t>Investors anticipating new monetary policies can trigger a rebalance of their portfolios where they can take out money from one portfolio and put it into a different one. This rebalancing can cause a dynamic that can cause issues like sell-off or hold to short the market. During FOMC periods, investors closely monitor FOMC announcements and adjust their expectations accordingly. These expectations and prior beliefs may cause volatility, which plays a hand in the deviations that we see in the CAPM expected return.</w:t>
      </w:r>
      <w:r w:rsidR="0066339A" w:rsidRPr="009C09AD">
        <w:rPr>
          <w:rFonts w:cstheme="minorHAnsi"/>
          <w:sz w:val="28"/>
          <w:szCs w:val="28"/>
          <w:lang w:val="en-US"/>
        </w:rPr>
        <w:t xml:space="preserve"> </w:t>
      </w:r>
      <w:r w:rsidR="00A865EE" w:rsidRPr="009C09AD">
        <w:rPr>
          <w:rFonts w:cstheme="minorHAnsi"/>
          <w:sz w:val="28"/>
          <w:szCs w:val="28"/>
          <w:lang w:val="en-US"/>
        </w:rPr>
        <w:t>CAPM works on the assumption of trends that are formed over a long period of time. CAPM is a straightforward framework that works on assumptions like rational investors, distributed returns, and portfolios yielding maximum return for a given risk. These simple assumptions may not represent the real-life dynamics as investors do not follow such practices.</w:t>
      </w:r>
    </w:p>
    <w:p w14:paraId="7602DB4E" w14:textId="77777777" w:rsidR="0066339A" w:rsidRPr="009C09AD" w:rsidRDefault="0066339A" w:rsidP="0066339A">
      <w:pPr>
        <w:pStyle w:val="ListParagraph"/>
        <w:rPr>
          <w:rFonts w:cstheme="minorHAnsi"/>
          <w:sz w:val="28"/>
          <w:szCs w:val="28"/>
          <w:lang w:val="en-US"/>
        </w:rPr>
      </w:pPr>
    </w:p>
    <w:p w14:paraId="40870604" w14:textId="4084FEEB" w:rsidR="00BC56BD" w:rsidRPr="009C09AD" w:rsidRDefault="002770DA" w:rsidP="00F50ED4">
      <w:pPr>
        <w:pStyle w:val="ListParagraph"/>
        <w:ind w:left="360"/>
        <w:jc w:val="center"/>
        <w:rPr>
          <w:rFonts w:cstheme="minorHAnsi"/>
          <w:sz w:val="28"/>
          <w:szCs w:val="28"/>
          <w:lang w:val="en-US"/>
        </w:rPr>
      </w:pPr>
      <w:r w:rsidRPr="009C09AD">
        <w:rPr>
          <w:rFonts w:cstheme="minorHAnsi"/>
          <w:noProof/>
        </w:rPr>
        <w:drawing>
          <wp:inline distT="0" distB="0" distL="0" distR="0" wp14:anchorId="6BEE44E4" wp14:editId="25F18AE2">
            <wp:extent cx="4152900" cy="2849880"/>
            <wp:effectExtent l="0" t="0" r="0" b="7620"/>
            <wp:docPr id="1089689737" name="Chart 1">
              <a:extLst xmlns:a="http://schemas.openxmlformats.org/drawingml/2006/main">
                <a:ext uri="{FF2B5EF4-FFF2-40B4-BE49-F238E27FC236}">
                  <a16:creationId xmlns:a16="http://schemas.microsoft.com/office/drawing/2014/main" id="{6D13CBAE-2AAB-4962-9814-4703DACE9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FA38D7E" w14:textId="489E8B21" w:rsidR="00BC56BD" w:rsidRPr="009C09AD" w:rsidRDefault="00E8044F" w:rsidP="00BC56BD">
      <w:pPr>
        <w:rPr>
          <w:rFonts w:cstheme="minorHAnsi"/>
          <w:sz w:val="28"/>
          <w:szCs w:val="28"/>
          <w:lang w:val="en-US"/>
        </w:rPr>
      </w:pPr>
      <w:r w:rsidRPr="009C09AD">
        <w:rPr>
          <w:rFonts w:cstheme="minorHAnsi"/>
          <w:sz w:val="28"/>
          <w:szCs w:val="28"/>
          <w:lang w:val="en-US"/>
        </w:rPr>
        <w:lastRenderedPageBreak/>
        <w:t xml:space="preserve">We cannot see any discernable pattern for the Beta in the bar graph. Most of the asset's Beta lies close to Market volatility. There is no clear pattern of how the FOMC period affects the Beta. We can see that Beta is increasing for some portfolios and decreasing for others. This can happen due to investors rebalancing their portfolios based on the new monetary policies, which can lead to short-term gain/drop in valuation, which may influence Beta. These short-term changes affect the Beta, which CAPM does not handle well. Hence, there is a difference between the two periods. There is also no correlation between the size and Beta of the portfolio. Some smaller portfolios have a higher beta than bigger portfolios. Most of the Beta changes for smaller portfolios are small in the two periods, while the beta difference for larger portfolios is larger.  In the paper </w:t>
      </w:r>
      <w:r w:rsidR="006516AD" w:rsidRPr="006516AD">
        <w:rPr>
          <w:rFonts w:cstheme="minorHAnsi"/>
          <w:sz w:val="28"/>
          <w:szCs w:val="28"/>
          <w:lang w:val="en-US"/>
        </w:rPr>
        <w:t xml:space="preserve"> (Baker &amp; Wurgler, 2004, p. xx)</w:t>
      </w:r>
      <w:r w:rsidRPr="009C09AD">
        <w:rPr>
          <w:rFonts w:cstheme="minorHAnsi"/>
          <w:sz w:val="28"/>
          <w:szCs w:val="28"/>
          <w:lang w:val="en-US"/>
        </w:rPr>
        <w:t>, the author states that when sentiment is low, returns are high for small stocks. When sentiment is high, the returns are small. Larger portfolios of bigger valuation respond more actively to monetary policies, while small portfolios face less tinkering.</w:t>
      </w:r>
    </w:p>
    <w:p w14:paraId="005291DD" w14:textId="77777777" w:rsidR="00BC56BD" w:rsidRPr="009C09AD" w:rsidRDefault="00BC56BD" w:rsidP="00BC56BD">
      <w:pPr>
        <w:rPr>
          <w:rFonts w:cstheme="minorHAnsi"/>
          <w:sz w:val="28"/>
          <w:szCs w:val="28"/>
          <w:lang w:val="en-US"/>
        </w:rPr>
      </w:pPr>
    </w:p>
    <w:p w14:paraId="2FEBB3C4" w14:textId="1EE142B1" w:rsidR="00A62864" w:rsidRPr="009C09AD" w:rsidRDefault="00CE1343" w:rsidP="00A62864">
      <w:pPr>
        <w:rPr>
          <w:rFonts w:cstheme="minorHAnsi"/>
          <w:b/>
          <w:bCs/>
          <w:sz w:val="40"/>
          <w:szCs w:val="40"/>
          <w:u w:val="single"/>
          <w:lang w:val="en-US"/>
        </w:rPr>
      </w:pPr>
      <w:r w:rsidRPr="009C09AD">
        <w:rPr>
          <w:rFonts w:cstheme="minorHAnsi"/>
          <w:b/>
          <w:bCs/>
          <w:sz w:val="40"/>
          <w:szCs w:val="40"/>
          <w:u w:val="single"/>
          <w:lang w:val="en-US"/>
        </w:rPr>
        <w:t>PART D</w:t>
      </w:r>
    </w:p>
    <w:p w14:paraId="1ADC9429" w14:textId="370E1D97" w:rsidR="003848EA" w:rsidRPr="009C09AD" w:rsidRDefault="00D1193F" w:rsidP="00A723D9">
      <w:pPr>
        <w:jc w:val="center"/>
        <w:rPr>
          <w:rFonts w:cstheme="minorHAnsi"/>
          <w:sz w:val="28"/>
          <w:szCs w:val="28"/>
          <w:lang w:val="en-US"/>
        </w:rPr>
      </w:pPr>
      <w:r w:rsidRPr="009C09AD">
        <w:rPr>
          <w:rFonts w:cstheme="minorHAnsi"/>
          <w:noProof/>
        </w:rPr>
        <w:drawing>
          <wp:inline distT="0" distB="0" distL="0" distR="0" wp14:anchorId="77EFD6DC" wp14:editId="5C211D6C">
            <wp:extent cx="5052060" cy="2613660"/>
            <wp:effectExtent l="0" t="0" r="15240" b="15240"/>
            <wp:docPr id="1338104188" name="Chart 1">
              <a:extLst xmlns:a="http://schemas.openxmlformats.org/drawingml/2006/main">
                <a:ext uri="{FF2B5EF4-FFF2-40B4-BE49-F238E27FC236}">
                  <a16:creationId xmlns:a16="http://schemas.microsoft.com/office/drawing/2014/main" id="{86944BF7-71D0-43EE-8B08-8095455C13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B3C160" w14:textId="54A93417" w:rsidR="005B48C8" w:rsidRPr="009C09AD" w:rsidRDefault="005B48C8" w:rsidP="00A62864">
      <w:pPr>
        <w:rPr>
          <w:rFonts w:cstheme="minorHAnsi"/>
          <w:sz w:val="28"/>
          <w:szCs w:val="28"/>
          <w:lang w:val="en-US"/>
        </w:rPr>
      </w:pPr>
    </w:p>
    <w:p w14:paraId="122D6E75" w14:textId="77777777" w:rsidR="00FF7AC0" w:rsidRPr="009C09AD" w:rsidRDefault="00FF7AC0" w:rsidP="00A62864">
      <w:pPr>
        <w:rPr>
          <w:rFonts w:cstheme="minorHAnsi"/>
          <w:sz w:val="28"/>
          <w:szCs w:val="28"/>
          <w:lang w:val="en-US"/>
        </w:rPr>
      </w:pPr>
      <w:r w:rsidRPr="009C09AD">
        <w:rPr>
          <w:rFonts w:cstheme="minorHAnsi"/>
          <w:sz w:val="28"/>
          <w:szCs w:val="28"/>
          <w:lang w:val="en-US"/>
        </w:rPr>
        <w:t xml:space="preserve">The line graph of alpha shows that the residual value is high during the FOMC period. To check the statistical significance of the calculated alpha, we will use the t-statistic calculated in Excel with a significance level of 5%. Only one of the 25 universal portfolios present for analysis is insignificant. The rest of the 24 portfolios lie above the level of significance. During the NON-FOMC period, the alpha of the portfolios remains close to zero. When we check the significance level of the alphas calculated, we can see that the t-statistic values lie under the 5% mark. From this, we can conclude that CAPM holds during the NON-FOMC period and fails to do so during the FOMC announcement period. </w:t>
      </w:r>
    </w:p>
    <w:p w14:paraId="2D9B747B" w14:textId="77777777" w:rsidR="00EB4A21" w:rsidRPr="009C09AD" w:rsidRDefault="00EB4A21" w:rsidP="00EB4A21">
      <w:pPr>
        <w:rPr>
          <w:rFonts w:cstheme="minorHAnsi"/>
          <w:sz w:val="28"/>
          <w:szCs w:val="28"/>
          <w:lang w:val="en-US"/>
        </w:rPr>
      </w:pPr>
      <w:r w:rsidRPr="009C09AD">
        <w:rPr>
          <w:rFonts w:cstheme="minorHAnsi"/>
          <w:sz w:val="28"/>
          <w:szCs w:val="28"/>
          <w:lang w:val="en-US"/>
        </w:rPr>
        <w:t xml:space="preserve">The Excel calculations show that the deviation for the alphas from zero when calculating the intercept for international portfolios is higher than for the US portfolios. This is also evident from the fact that the t-statistic, used to calculate the significance of the mentioned </w:t>
      </w:r>
      <w:r w:rsidRPr="009C09AD">
        <w:rPr>
          <w:rFonts w:cstheme="minorHAnsi"/>
          <w:sz w:val="28"/>
          <w:szCs w:val="28"/>
          <w:lang w:val="en-US"/>
        </w:rPr>
        <w:lastRenderedPageBreak/>
        <w:t xml:space="preserve">coefficients from the regression model, of the international portfolios lie well above the US portfolios. Even though the strength of deviation is stronger in international portfolios, our results remain consistent with the fact that the CAPM holds during the NON-FOCM period but fails to do so during the FOCM period. </w:t>
      </w:r>
    </w:p>
    <w:p w14:paraId="19E8D63D" w14:textId="1AB7BE44" w:rsidR="00EB4A21" w:rsidRPr="009C09AD" w:rsidRDefault="00EB4A21" w:rsidP="00EB4A21">
      <w:pPr>
        <w:rPr>
          <w:rFonts w:cstheme="minorHAnsi"/>
          <w:b/>
          <w:bCs/>
          <w:sz w:val="28"/>
          <w:szCs w:val="28"/>
          <w:lang w:val="en-US"/>
        </w:rPr>
      </w:pPr>
      <w:r w:rsidRPr="009C09AD">
        <w:rPr>
          <w:rFonts w:cstheme="minorHAnsi"/>
          <w:sz w:val="28"/>
          <w:szCs w:val="28"/>
          <w:lang w:val="en-US"/>
        </w:rPr>
        <w:t xml:space="preserve">There are several reasons why Alpha (residual) in international portfolios experiences a deviation from zero during the FOMC period – </w:t>
      </w:r>
    </w:p>
    <w:p w14:paraId="576AC2BB" w14:textId="59B87949" w:rsidR="00BF7DA3" w:rsidRPr="009C09AD" w:rsidRDefault="00B85CB6" w:rsidP="00EB4A21">
      <w:pPr>
        <w:pStyle w:val="ListParagraph"/>
        <w:numPr>
          <w:ilvl w:val="0"/>
          <w:numId w:val="4"/>
        </w:numPr>
        <w:rPr>
          <w:rFonts w:cstheme="minorHAnsi"/>
          <w:b/>
          <w:bCs/>
          <w:sz w:val="28"/>
          <w:szCs w:val="28"/>
          <w:lang w:val="en-US"/>
        </w:rPr>
      </w:pPr>
      <w:r w:rsidRPr="009C09AD">
        <w:rPr>
          <w:rFonts w:cstheme="minorHAnsi"/>
          <w:b/>
          <w:bCs/>
          <w:sz w:val="28"/>
          <w:szCs w:val="28"/>
          <w:lang w:val="en-US"/>
        </w:rPr>
        <w:t>Market Volatility</w:t>
      </w:r>
      <w:r w:rsidR="006279C8" w:rsidRPr="009C09AD">
        <w:rPr>
          <w:rFonts w:cstheme="minorHAnsi"/>
          <w:b/>
          <w:bCs/>
          <w:sz w:val="28"/>
          <w:szCs w:val="28"/>
          <w:lang w:val="en-US"/>
        </w:rPr>
        <w:t xml:space="preserve"> and </w:t>
      </w:r>
      <w:r w:rsidR="0012792E" w:rsidRPr="009C09AD">
        <w:rPr>
          <w:rFonts w:cstheme="minorHAnsi"/>
          <w:b/>
          <w:bCs/>
          <w:sz w:val="28"/>
          <w:szCs w:val="28"/>
          <w:lang w:val="en-US"/>
        </w:rPr>
        <w:t>R</w:t>
      </w:r>
      <w:r w:rsidR="00DE3514" w:rsidRPr="009C09AD">
        <w:rPr>
          <w:rFonts w:cstheme="minorHAnsi"/>
          <w:b/>
          <w:bCs/>
          <w:sz w:val="28"/>
          <w:szCs w:val="28"/>
          <w:lang w:val="en-US"/>
        </w:rPr>
        <w:t>isk</w:t>
      </w:r>
      <w:r w:rsidRPr="009C09AD">
        <w:rPr>
          <w:rFonts w:cstheme="minorHAnsi"/>
          <w:b/>
          <w:bCs/>
          <w:sz w:val="28"/>
          <w:szCs w:val="28"/>
          <w:lang w:val="en-US"/>
        </w:rPr>
        <w:t xml:space="preserve"> </w:t>
      </w:r>
      <w:r w:rsidR="001F6E42" w:rsidRPr="009C09AD">
        <w:rPr>
          <w:rFonts w:cstheme="minorHAnsi"/>
          <w:b/>
          <w:bCs/>
          <w:sz w:val="28"/>
          <w:szCs w:val="28"/>
          <w:lang w:val="en-US"/>
        </w:rPr>
        <w:t>–</w:t>
      </w:r>
      <w:r w:rsidRPr="009C09AD">
        <w:rPr>
          <w:rFonts w:cstheme="minorHAnsi"/>
          <w:b/>
          <w:bCs/>
          <w:sz w:val="28"/>
          <w:szCs w:val="28"/>
          <w:lang w:val="en-US"/>
        </w:rPr>
        <w:t xml:space="preserve"> </w:t>
      </w:r>
      <w:r w:rsidR="00291C9F" w:rsidRPr="009C09AD">
        <w:rPr>
          <w:rFonts w:cstheme="minorHAnsi"/>
          <w:sz w:val="28"/>
          <w:szCs w:val="28"/>
          <w:lang w:val="en-US"/>
        </w:rPr>
        <w:t xml:space="preserve">FOMC announcements play a major part in the excess return being calculated for international portfolios because of the US economy's interconnectedness with the global market. This is because a change in monetary policies will affect investors globally. For example, an increase in interest rates can prompt a herd mentality where investors can move away from risky assets with higher returns to less risky assets in US securities, which will give a higher return. A Paper </w:t>
      </w:r>
      <w:r w:rsidR="00DD33AF" w:rsidRPr="00DD33AF">
        <w:rPr>
          <w:rFonts w:cstheme="minorHAnsi"/>
          <w:sz w:val="28"/>
          <w:szCs w:val="28"/>
          <w:lang w:val="en-US"/>
        </w:rPr>
        <w:t>(Trung Hoang Bao &amp; Cesario Mateus, 2017)</w:t>
      </w:r>
      <w:r w:rsidR="00DD33AF">
        <w:rPr>
          <w:rFonts w:cstheme="minorHAnsi"/>
          <w:sz w:val="28"/>
          <w:szCs w:val="28"/>
          <w:lang w:val="en-US"/>
        </w:rPr>
        <w:t xml:space="preserve"> </w:t>
      </w:r>
      <w:r w:rsidR="00291C9F" w:rsidRPr="009C09AD">
        <w:rPr>
          <w:rFonts w:cstheme="minorHAnsi"/>
          <w:sz w:val="28"/>
          <w:szCs w:val="28"/>
          <w:lang w:val="en-US"/>
        </w:rPr>
        <w:t>that studies the impact of FOMC announcements on Asian countries states that the interconnectedness of US and global markets influences foreign markets.</w:t>
      </w:r>
    </w:p>
    <w:p w14:paraId="4F17E438" w14:textId="77777777" w:rsidR="002511D6" w:rsidRPr="009C09AD" w:rsidRDefault="002511D6" w:rsidP="002511D6">
      <w:pPr>
        <w:pStyle w:val="ListParagraph"/>
        <w:ind w:left="360"/>
        <w:rPr>
          <w:rFonts w:cstheme="minorHAnsi"/>
          <w:b/>
          <w:bCs/>
          <w:sz w:val="28"/>
          <w:szCs w:val="28"/>
          <w:lang w:val="en-US"/>
        </w:rPr>
      </w:pPr>
    </w:p>
    <w:p w14:paraId="0EB64673" w14:textId="504B77E2" w:rsidR="00D450E7" w:rsidRPr="009C09AD" w:rsidRDefault="00BC644E" w:rsidP="00D450E7">
      <w:pPr>
        <w:pStyle w:val="ListParagraph"/>
        <w:numPr>
          <w:ilvl w:val="0"/>
          <w:numId w:val="4"/>
        </w:numPr>
        <w:rPr>
          <w:rFonts w:cstheme="minorHAnsi"/>
          <w:b/>
          <w:bCs/>
          <w:sz w:val="28"/>
          <w:szCs w:val="28"/>
          <w:lang w:val="en-US"/>
        </w:rPr>
      </w:pPr>
      <w:r w:rsidRPr="009C09AD">
        <w:rPr>
          <w:rFonts w:cstheme="minorHAnsi"/>
          <w:b/>
          <w:bCs/>
          <w:sz w:val="28"/>
          <w:szCs w:val="28"/>
          <w:lang w:val="en-US"/>
        </w:rPr>
        <w:t xml:space="preserve">Liquidity </w:t>
      </w:r>
      <w:r w:rsidR="00377EE8" w:rsidRPr="009C09AD">
        <w:rPr>
          <w:rFonts w:cstheme="minorHAnsi"/>
          <w:b/>
          <w:bCs/>
          <w:sz w:val="28"/>
          <w:szCs w:val="28"/>
          <w:lang w:val="en-US"/>
        </w:rPr>
        <w:t>–</w:t>
      </w:r>
      <w:r w:rsidRPr="009C09AD">
        <w:rPr>
          <w:rFonts w:cstheme="minorHAnsi"/>
          <w:b/>
          <w:bCs/>
          <w:sz w:val="28"/>
          <w:szCs w:val="28"/>
          <w:lang w:val="en-US"/>
        </w:rPr>
        <w:t xml:space="preserve"> </w:t>
      </w:r>
      <w:r w:rsidR="006C40BE" w:rsidRPr="009C09AD">
        <w:rPr>
          <w:rFonts w:cstheme="minorHAnsi"/>
          <w:sz w:val="28"/>
          <w:szCs w:val="28"/>
          <w:lang w:val="en-US"/>
        </w:rPr>
        <w:t xml:space="preserve">Liquidity refers to how easily a transaction of the same monetary value can be made without affecting the asset's price. When the FOMC makes announcements about interest rates, it can affect the investor to safe US government bonds. The increase or decrease of funds available to the investor after investing in safe US government bonds may affect international assets. CAPM will not handle this movement of capital allocation as it works on the principle of long-term asset holding. This issue will result in a large increase in the value of Alpha. In the paper </w:t>
      </w:r>
      <w:r w:rsidR="00C6721E" w:rsidRPr="00C6721E">
        <w:rPr>
          <w:rFonts w:cstheme="minorHAnsi"/>
          <w:sz w:val="28"/>
          <w:szCs w:val="28"/>
          <w:lang w:val="en-US"/>
        </w:rPr>
        <w:t>(</w:t>
      </w:r>
      <w:proofErr w:type="spellStart"/>
      <w:r w:rsidR="00C6721E" w:rsidRPr="00C6721E">
        <w:rPr>
          <w:rFonts w:cstheme="minorHAnsi"/>
          <w:sz w:val="28"/>
          <w:szCs w:val="28"/>
          <w:lang w:val="en-US"/>
        </w:rPr>
        <w:t>Tadle</w:t>
      </w:r>
      <w:proofErr w:type="spellEnd"/>
      <w:r w:rsidR="00C6721E" w:rsidRPr="00C6721E">
        <w:rPr>
          <w:rFonts w:cstheme="minorHAnsi"/>
          <w:sz w:val="28"/>
          <w:szCs w:val="28"/>
          <w:lang w:val="en-US"/>
        </w:rPr>
        <w:t xml:space="preserve"> &amp; Cruz, 2022)</w:t>
      </w:r>
      <w:r w:rsidR="006C40BE" w:rsidRPr="009C09AD">
        <w:rPr>
          <w:rFonts w:cstheme="minorHAnsi"/>
          <w:sz w:val="28"/>
          <w:szCs w:val="28"/>
          <w:lang w:val="en-US"/>
        </w:rPr>
        <w:t>, The study finds that a strong or cautious outlook of FOMC has a high influence on the valuation of the US dollar against several foreign currencies. This shows that the FOMC period can affect international capital flows.</w:t>
      </w:r>
    </w:p>
    <w:p w14:paraId="50A20FCE" w14:textId="77777777" w:rsidR="00D450E7" w:rsidRPr="009C09AD" w:rsidRDefault="00D450E7" w:rsidP="00D450E7">
      <w:pPr>
        <w:pStyle w:val="ListParagraph"/>
        <w:ind w:left="360"/>
        <w:rPr>
          <w:rFonts w:cstheme="minorHAnsi"/>
          <w:b/>
          <w:bCs/>
          <w:sz w:val="28"/>
          <w:szCs w:val="28"/>
          <w:lang w:val="en-US"/>
        </w:rPr>
      </w:pPr>
    </w:p>
    <w:p w14:paraId="4EEF359C" w14:textId="438C0C95" w:rsidR="00506E64" w:rsidRPr="009C09AD" w:rsidRDefault="00A62D95" w:rsidP="00506E64">
      <w:pPr>
        <w:pStyle w:val="ListParagraph"/>
        <w:numPr>
          <w:ilvl w:val="0"/>
          <w:numId w:val="4"/>
        </w:numPr>
        <w:rPr>
          <w:rFonts w:cstheme="minorHAnsi"/>
          <w:b/>
          <w:bCs/>
          <w:sz w:val="28"/>
          <w:szCs w:val="28"/>
          <w:lang w:val="en-US"/>
        </w:rPr>
      </w:pPr>
      <w:r w:rsidRPr="009C09AD">
        <w:rPr>
          <w:rFonts w:cstheme="minorHAnsi"/>
          <w:b/>
          <w:bCs/>
          <w:sz w:val="28"/>
          <w:szCs w:val="28"/>
          <w:lang w:val="en-US"/>
        </w:rPr>
        <w:t xml:space="preserve">Currency – </w:t>
      </w:r>
      <w:r w:rsidR="00506E64" w:rsidRPr="009C09AD">
        <w:rPr>
          <w:rFonts w:cstheme="minorHAnsi"/>
          <w:sz w:val="28"/>
          <w:szCs w:val="28"/>
          <w:lang w:val="en-US"/>
        </w:rPr>
        <w:t>FOMC announcements usually have an impact on the US dollar. The US dollar, for the moment, serves as the global reserve currency. The impact of global currencies on international portfolios can be because of the exchange rate of currencies against the dollar. For example, an increase in the interest rates will increase the dollar's value against other currencies. Hence, these exchange rates greatly impact the sensitivity of the international market, which can show as high residual values because of abnormal returns.</w:t>
      </w:r>
    </w:p>
    <w:p w14:paraId="4A9EF379" w14:textId="77777777" w:rsidR="00506E64" w:rsidRPr="009C09AD" w:rsidRDefault="00506E64" w:rsidP="00506E64">
      <w:pPr>
        <w:pStyle w:val="ListParagraph"/>
        <w:ind w:left="360"/>
        <w:rPr>
          <w:rFonts w:cstheme="minorHAnsi"/>
          <w:b/>
          <w:bCs/>
          <w:sz w:val="28"/>
          <w:szCs w:val="28"/>
          <w:lang w:val="en-US"/>
        </w:rPr>
      </w:pPr>
    </w:p>
    <w:p w14:paraId="05298FAF" w14:textId="77777777" w:rsidR="00F4130B" w:rsidRPr="009C09AD" w:rsidRDefault="00610F31" w:rsidP="00BE7C14">
      <w:pPr>
        <w:pStyle w:val="ListParagraph"/>
        <w:numPr>
          <w:ilvl w:val="0"/>
          <w:numId w:val="4"/>
        </w:numPr>
        <w:rPr>
          <w:rFonts w:cstheme="minorHAnsi"/>
          <w:sz w:val="28"/>
          <w:szCs w:val="28"/>
          <w:lang w:val="en-US"/>
        </w:rPr>
      </w:pPr>
      <w:r w:rsidRPr="009C09AD">
        <w:rPr>
          <w:rFonts w:cstheme="minorHAnsi"/>
          <w:b/>
          <w:bCs/>
          <w:sz w:val="28"/>
          <w:szCs w:val="28"/>
          <w:lang w:val="en-US"/>
        </w:rPr>
        <w:t xml:space="preserve">Cash </w:t>
      </w:r>
      <w:r w:rsidR="004E4160" w:rsidRPr="009C09AD">
        <w:rPr>
          <w:rFonts w:cstheme="minorHAnsi"/>
          <w:b/>
          <w:bCs/>
          <w:sz w:val="28"/>
          <w:szCs w:val="28"/>
          <w:lang w:val="en-US"/>
        </w:rPr>
        <w:t>F</w:t>
      </w:r>
      <w:r w:rsidRPr="009C09AD">
        <w:rPr>
          <w:rFonts w:cstheme="minorHAnsi"/>
          <w:b/>
          <w:bCs/>
          <w:sz w:val="28"/>
          <w:szCs w:val="28"/>
          <w:lang w:val="en-US"/>
        </w:rPr>
        <w:t xml:space="preserve">low Adjustment </w:t>
      </w:r>
      <w:r w:rsidR="00622FC5" w:rsidRPr="009C09AD">
        <w:rPr>
          <w:rFonts w:cstheme="minorHAnsi"/>
          <w:b/>
          <w:bCs/>
          <w:sz w:val="28"/>
          <w:szCs w:val="28"/>
          <w:lang w:val="en-US"/>
        </w:rPr>
        <w:t>–</w:t>
      </w:r>
      <w:r w:rsidRPr="009C09AD">
        <w:rPr>
          <w:rFonts w:cstheme="minorHAnsi"/>
          <w:b/>
          <w:bCs/>
          <w:sz w:val="28"/>
          <w:szCs w:val="28"/>
          <w:lang w:val="en-US"/>
        </w:rPr>
        <w:t xml:space="preserve"> </w:t>
      </w:r>
      <w:r w:rsidR="00F4130B" w:rsidRPr="009C09AD">
        <w:rPr>
          <w:rFonts w:cstheme="minorHAnsi"/>
          <w:sz w:val="28"/>
          <w:szCs w:val="28"/>
          <w:lang w:val="en-US"/>
        </w:rPr>
        <w:t xml:space="preserve">When the FOMC announcements affect US monetary policies, such as a higher interest rate, US assets become much more attractive to investors. Because of this, a large movement of cash flow can be seen from risky assets to assets with a lower risk and a potentially higher return. These movements may not be handled </w:t>
      </w:r>
      <w:r w:rsidR="00F4130B" w:rsidRPr="009C09AD">
        <w:rPr>
          <w:rFonts w:cstheme="minorHAnsi"/>
          <w:sz w:val="28"/>
          <w:szCs w:val="28"/>
          <w:lang w:val="en-US"/>
        </w:rPr>
        <w:lastRenderedPageBreak/>
        <w:t>by the CAPM model, and we, in turn, see a higher residual in the period surrounding the FOMC.</w:t>
      </w:r>
    </w:p>
    <w:p w14:paraId="2679E4D9" w14:textId="77777777" w:rsidR="00F4130B" w:rsidRPr="009C09AD" w:rsidRDefault="00F4130B" w:rsidP="008271C7">
      <w:pPr>
        <w:rPr>
          <w:rFonts w:cstheme="minorHAnsi"/>
          <w:sz w:val="28"/>
          <w:szCs w:val="28"/>
          <w:lang w:val="en-US"/>
        </w:rPr>
      </w:pPr>
    </w:p>
    <w:p w14:paraId="74BB878E" w14:textId="594C5BB4" w:rsidR="008271C7" w:rsidRPr="009C09AD" w:rsidRDefault="008271C7" w:rsidP="008271C7">
      <w:pPr>
        <w:jc w:val="center"/>
        <w:rPr>
          <w:rFonts w:cstheme="minorHAnsi"/>
          <w:sz w:val="28"/>
          <w:szCs w:val="28"/>
          <w:lang w:val="en-US"/>
        </w:rPr>
      </w:pPr>
      <w:r w:rsidRPr="009C09AD">
        <w:rPr>
          <w:rFonts w:cstheme="minorHAnsi"/>
          <w:noProof/>
        </w:rPr>
        <w:drawing>
          <wp:inline distT="0" distB="0" distL="0" distR="0" wp14:anchorId="6166F1D0" wp14:editId="269BE63E">
            <wp:extent cx="4236720" cy="2621280"/>
            <wp:effectExtent l="0" t="0" r="0" b="7620"/>
            <wp:docPr id="1195855006" name="Chart 1">
              <a:extLst xmlns:a="http://schemas.openxmlformats.org/drawingml/2006/main">
                <a:ext uri="{FF2B5EF4-FFF2-40B4-BE49-F238E27FC236}">
                  <a16:creationId xmlns:a16="http://schemas.microsoft.com/office/drawing/2014/main" id="{AD0F08FB-5FC5-45E4-98A4-B3DC2EAD06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32E5B7" w14:textId="77777777" w:rsidR="006D20F5" w:rsidRPr="009C09AD" w:rsidRDefault="006D20F5" w:rsidP="006D20F5">
      <w:pPr>
        <w:rPr>
          <w:rFonts w:cstheme="minorHAnsi"/>
          <w:sz w:val="28"/>
          <w:szCs w:val="28"/>
          <w:lang w:val="en-US"/>
        </w:rPr>
      </w:pPr>
      <w:r w:rsidRPr="009C09AD">
        <w:rPr>
          <w:rFonts w:cstheme="minorHAnsi"/>
          <w:sz w:val="28"/>
          <w:szCs w:val="28"/>
          <w:lang w:val="en-US"/>
        </w:rPr>
        <w:t>The bar graph shows a very subtle change in the value of Beta between the FOCM and NON-FOCM periods. We always see a slight decrease in the value of Beta when going from NON-FOCM to FOCM period. This is inconsistent compared to US portfolios as it does not share a similar pattern where its Beta increase in some portfolios and a decrease in others. We can also see that smaller portfolios have a smaller beta value while bigger portfolios have a higher beta value. This does not follow the US portfolios as it shows no pattern in deciding how the value of the Beta is affected based on its size.</w:t>
      </w:r>
    </w:p>
    <w:p w14:paraId="017DBB5A" w14:textId="1A7005D9" w:rsidR="00720344" w:rsidRDefault="006D20F5" w:rsidP="006D20F5">
      <w:pPr>
        <w:rPr>
          <w:rFonts w:cstheme="minorHAnsi"/>
          <w:sz w:val="28"/>
          <w:szCs w:val="28"/>
          <w:lang w:val="en-US"/>
        </w:rPr>
      </w:pPr>
      <w:r w:rsidRPr="009C09AD">
        <w:rPr>
          <w:rFonts w:cstheme="minorHAnsi"/>
          <w:sz w:val="28"/>
          <w:szCs w:val="28"/>
          <w:lang w:val="en-US"/>
        </w:rPr>
        <w:t xml:space="preserve">A paper </w:t>
      </w:r>
      <w:r w:rsidR="00D4658D" w:rsidRPr="00D4658D">
        <w:rPr>
          <w:rFonts w:cstheme="minorHAnsi"/>
          <w:sz w:val="28"/>
          <w:szCs w:val="28"/>
          <w:lang w:val="en-US"/>
        </w:rPr>
        <w:t xml:space="preserve"> (Hausman et al., 2011)</w:t>
      </w:r>
      <w:r w:rsidR="00D4658D">
        <w:rPr>
          <w:rFonts w:cstheme="minorHAnsi"/>
          <w:sz w:val="28"/>
          <w:szCs w:val="28"/>
          <w:lang w:val="en-US"/>
        </w:rPr>
        <w:t xml:space="preserve"> </w:t>
      </w:r>
      <w:r w:rsidRPr="009C09AD">
        <w:rPr>
          <w:rFonts w:cstheme="minorHAnsi"/>
          <w:sz w:val="28"/>
          <w:szCs w:val="28"/>
          <w:lang w:val="en-US"/>
        </w:rPr>
        <w:t>provides evidence that states the case of a decrease in Beta for international assets during Federal Open Market Committee (FOMC) announcements. The paper analyzed data from 49 countries and stated that exchange rates and long-term interest rates are sensitive to the stance of US monetary policies. This helps understand the shift that international markets face when merging and collaborating it with the US market. All this leads to a small decrease in the value of the Beta of international portfolios during the FOCM period.</w:t>
      </w:r>
    </w:p>
    <w:p w14:paraId="42BC1EB2" w14:textId="77777777" w:rsidR="00C0687B" w:rsidRDefault="00C0687B" w:rsidP="006D20F5">
      <w:pPr>
        <w:rPr>
          <w:rFonts w:cstheme="minorHAnsi"/>
          <w:sz w:val="28"/>
          <w:szCs w:val="28"/>
          <w:lang w:val="en-US"/>
        </w:rPr>
      </w:pPr>
    </w:p>
    <w:p w14:paraId="7E003C23" w14:textId="77777777" w:rsidR="00C0687B" w:rsidRDefault="00C0687B" w:rsidP="006D20F5">
      <w:pPr>
        <w:rPr>
          <w:rFonts w:cstheme="minorHAnsi"/>
          <w:sz w:val="28"/>
          <w:szCs w:val="28"/>
          <w:lang w:val="en-US"/>
        </w:rPr>
      </w:pPr>
    </w:p>
    <w:p w14:paraId="05FB1A0D" w14:textId="77777777" w:rsidR="00C0687B" w:rsidRDefault="00C0687B" w:rsidP="006D20F5">
      <w:pPr>
        <w:rPr>
          <w:rFonts w:cstheme="minorHAnsi"/>
          <w:sz w:val="28"/>
          <w:szCs w:val="28"/>
          <w:lang w:val="en-US"/>
        </w:rPr>
      </w:pPr>
    </w:p>
    <w:p w14:paraId="1655CED9" w14:textId="77777777" w:rsidR="00C0687B" w:rsidRDefault="00C0687B" w:rsidP="006D20F5">
      <w:pPr>
        <w:rPr>
          <w:rFonts w:cstheme="minorHAnsi"/>
          <w:sz w:val="28"/>
          <w:szCs w:val="28"/>
          <w:lang w:val="en-US"/>
        </w:rPr>
      </w:pPr>
    </w:p>
    <w:p w14:paraId="484FFB95" w14:textId="77777777" w:rsidR="00C0687B" w:rsidRDefault="00C0687B" w:rsidP="006D20F5">
      <w:pPr>
        <w:rPr>
          <w:rFonts w:cstheme="minorHAnsi"/>
          <w:sz w:val="28"/>
          <w:szCs w:val="28"/>
          <w:lang w:val="en-US"/>
        </w:rPr>
      </w:pPr>
    </w:p>
    <w:p w14:paraId="484C618F" w14:textId="77777777" w:rsidR="00C0687B" w:rsidRDefault="00C0687B" w:rsidP="006D20F5">
      <w:pPr>
        <w:rPr>
          <w:rFonts w:cstheme="minorHAnsi"/>
          <w:sz w:val="28"/>
          <w:szCs w:val="28"/>
          <w:lang w:val="en-US"/>
        </w:rPr>
      </w:pPr>
    </w:p>
    <w:p w14:paraId="12C6D62E" w14:textId="77777777" w:rsidR="00C0687B" w:rsidRDefault="00C0687B" w:rsidP="006D20F5">
      <w:pPr>
        <w:rPr>
          <w:rFonts w:cstheme="minorHAnsi"/>
          <w:sz w:val="28"/>
          <w:szCs w:val="28"/>
          <w:lang w:val="en-US"/>
        </w:rPr>
      </w:pPr>
    </w:p>
    <w:p w14:paraId="0F2BB21C" w14:textId="77777777" w:rsidR="00C0687B" w:rsidRDefault="00C0687B" w:rsidP="006D20F5">
      <w:pPr>
        <w:rPr>
          <w:rFonts w:cstheme="minorHAnsi"/>
          <w:sz w:val="28"/>
          <w:szCs w:val="28"/>
          <w:lang w:val="en-US"/>
        </w:rPr>
      </w:pPr>
    </w:p>
    <w:p w14:paraId="413B8817" w14:textId="77777777" w:rsidR="00C0687B" w:rsidRPr="00C0687B" w:rsidRDefault="00C0687B" w:rsidP="00C0687B">
      <w:pPr>
        <w:shd w:val="clear" w:color="auto" w:fill="FFFFFF"/>
        <w:spacing w:after="0" w:line="240" w:lineRule="auto"/>
        <w:jc w:val="center"/>
        <w:rPr>
          <w:rFonts w:eastAsia="Times New Roman" w:cstheme="minorHAnsi"/>
          <w:color w:val="000000"/>
          <w:kern w:val="0"/>
          <w:sz w:val="28"/>
          <w:szCs w:val="28"/>
          <w:lang w:val="en-IN" w:eastAsia="en-IN" w:bidi="ar-SA"/>
          <w14:ligatures w14:val="none"/>
        </w:rPr>
      </w:pPr>
      <w:r w:rsidRPr="00C0687B">
        <w:rPr>
          <w:rFonts w:eastAsia="Times New Roman" w:cstheme="minorHAnsi"/>
          <w:color w:val="000000"/>
          <w:kern w:val="0"/>
          <w:sz w:val="28"/>
          <w:szCs w:val="28"/>
          <w:lang w:val="en-IN" w:eastAsia="en-IN" w:bidi="ar-SA"/>
          <w14:ligatures w14:val="none"/>
        </w:rPr>
        <w:lastRenderedPageBreak/>
        <w:t>References</w:t>
      </w:r>
    </w:p>
    <w:p w14:paraId="23E0A463" w14:textId="77777777" w:rsidR="00C0687B" w:rsidRPr="00C0687B" w:rsidRDefault="00C0687B" w:rsidP="00C0687B">
      <w:pPr>
        <w:shd w:val="clear" w:color="auto" w:fill="FFFFFF"/>
        <w:spacing w:after="0" w:line="550" w:lineRule="atLeast"/>
        <w:ind w:left="720" w:right="75" w:hanging="720"/>
        <w:rPr>
          <w:rFonts w:eastAsia="Times New Roman" w:cstheme="minorHAnsi"/>
          <w:color w:val="000000"/>
          <w:kern w:val="0"/>
          <w:sz w:val="28"/>
          <w:szCs w:val="28"/>
          <w:lang w:val="en-IN" w:eastAsia="en-IN" w:bidi="ar-SA"/>
          <w14:ligatures w14:val="none"/>
        </w:rPr>
      </w:pPr>
      <w:r w:rsidRPr="00C0687B">
        <w:rPr>
          <w:rFonts w:eastAsia="Times New Roman" w:cstheme="minorHAnsi"/>
          <w:color w:val="000000"/>
          <w:kern w:val="0"/>
          <w:sz w:val="28"/>
          <w:szCs w:val="28"/>
          <w:lang w:val="en-IN" w:eastAsia="en-IN" w:bidi="ar-SA"/>
          <w14:ligatures w14:val="none"/>
        </w:rPr>
        <w:t>Baker, M., &amp; Wurgler, J. (2004). Investor sentiment and the cross-section of stock returns. </w:t>
      </w:r>
      <w:hyperlink r:id="rId11" w:history="1">
        <w:r w:rsidRPr="00C0687B">
          <w:rPr>
            <w:rFonts w:eastAsia="Times New Roman" w:cstheme="minorHAnsi"/>
            <w:color w:val="000000"/>
            <w:kern w:val="0"/>
            <w:sz w:val="28"/>
            <w:szCs w:val="28"/>
            <w:u w:val="single"/>
            <w:lang w:val="en-IN" w:eastAsia="en-IN" w:bidi="ar-SA"/>
            <w14:ligatures w14:val="none"/>
          </w:rPr>
          <w:t>https://doi.org/10.3386/w10449</w:t>
        </w:r>
      </w:hyperlink>
    </w:p>
    <w:p w14:paraId="7C0F2F1F" w14:textId="77777777" w:rsidR="00C0687B" w:rsidRPr="00C0687B" w:rsidRDefault="00C0687B" w:rsidP="00C0687B">
      <w:pPr>
        <w:shd w:val="clear" w:color="auto" w:fill="FFFFFF"/>
        <w:spacing w:after="0" w:line="550" w:lineRule="atLeast"/>
        <w:ind w:left="720" w:right="75" w:hanging="720"/>
        <w:rPr>
          <w:rFonts w:eastAsia="Times New Roman" w:cstheme="minorHAnsi"/>
          <w:color w:val="000000"/>
          <w:kern w:val="0"/>
          <w:sz w:val="28"/>
          <w:szCs w:val="28"/>
          <w:lang w:val="en-IN" w:eastAsia="en-IN" w:bidi="ar-SA"/>
          <w14:ligatures w14:val="none"/>
        </w:rPr>
      </w:pPr>
      <w:r w:rsidRPr="00C0687B">
        <w:rPr>
          <w:rFonts w:eastAsia="Times New Roman" w:cstheme="minorHAnsi"/>
          <w:color w:val="000000"/>
          <w:kern w:val="0"/>
          <w:sz w:val="28"/>
          <w:szCs w:val="28"/>
          <w:lang w:val="en-IN" w:eastAsia="en-IN" w:bidi="ar-SA"/>
          <w14:ligatures w14:val="none"/>
        </w:rPr>
        <w:t>Bodilsen, Eriksen, S. &amp;., &amp; Jonas N. &amp; Grønborg, Niels S. (2021, February 2). </w:t>
      </w:r>
      <w:r w:rsidRPr="00C0687B">
        <w:rPr>
          <w:rFonts w:eastAsia="Times New Roman" w:cstheme="minorHAnsi"/>
          <w:i/>
          <w:iCs/>
          <w:color w:val="000000"/>
          <w:kern w:val="0"/>
          <w:sz w:val="28"/>
          <w:szCs w:val="28"/>
          <w:lang w:val="en-IN" w:eastAsia="en-IN" w:bidi="ar-SA"/>
          <w14:ligatures w14:val="none"/>
        </w:rPr>
        <w:t>Asset pricing and FOMC press conferences</w:t>
      </w:r>
      <w:r w:rsidRPr="00C0687B">
        <w:rPr>
          <w:rFonts w:eastAsia="Times New Roman" w:cstheme="minorHAnsi"/>
          <w:color w:val="000000"/>
          <w:kern w:val="0"/>
          <w:sz w:val="28"/>
          <w:szCs w:val="28"/>
          <w:lang w:val="en-IN" w:eastAsia="en-IN" w:bidi="ar-SA"/>
          <w14:ligatures w14:val="none"/>
        </w:rPr>
        <w:t>. Economics and Finance Research | IDEAS/RePEc. </w:t>
      </w:r>
      <w:hyperlink r:id="rId12" w:history="1">
        <w:r w:rsidRPr="00C0687B">
          <w:rPr>
            <w:rFonts w:eastAsia="Times New Roman" w:cstheme="minorHAnsi"/>
            <w:color w:val="000000"/>
            <w:kern w:val="0"/>
            <w:sz w:val="28"/>
            <w:szCs w:val="28"/>
            <w:u w:val="single"/>
            <w:lang w:val="en-IN" w:eastAsia="en-IN" w:bidi="ar-SA"/>
            <w14:ligatures w14:val="none"/>
          </w:rPr>
          <w:t>https://ideas.repec.org/a/eee/jbfina/v128y2021ics0378426621001229.html</w:t>
        </w:r>
      </w:hyperlink>
    </w:p>
    <w:p w14:paraId="6D8FAB33" w14:textId="77777777" w:rsidR="00C0687B" w:rsidRPr="00C0687B" w:rsidRDefault="00C0687B" w:rsidP="00C0687B">
      <w:pPr>
        <w:shd w:val="clear" w:color="auto" w:fill="FFFFFF"/>
        <w:spacing w:after="0" w:line="550" w:lineRule="atLeast"/>
        <w:ind w:left="720" w:right="75" w:hanging="720"/>
        <w:rPr>
          <w:rFonts w:eastAsia="Times New Roman" w:cstheme="minorHAnsi"/>
          <w:color w:val="000000"/>
          <w:kern w:val="0"/>
          <w:sz w:val="28"/>
          <w:szCs w:val="28"/>
          <w:lang w:val="en-IN" w:eastAsia="en-IN" w:bidi="ar-SA"/>
          <w14:ligatures w14:val="none"/>
        </w:rPr>
      </w:pPr>
      <w:r w:rsidRPr="00C0687B">
        <w:rPr>
          <w:rFonts w:eastAsia="Times New Roman" w:cstheme="minorHAnsi"/>
          <w:color w:val="000000"/>
          <w:kern w:val="0"/>
          <w:sz w:val="28"/>
          <w:szCs w:val="28"/>
          <w:lang w:val="en-IN" w:eastAsia="en-IN" w:bidi="ar-SA"/>
          <w14:ligatures w14:val="none"/>
        </w:rPr>
        <w:t xml:space="preserve">Hausman, </w:t>
      </w:r>
      <w:proofErr w:type="spellStart"/>
      <w:r w:rsidRPr="00C0687B">
        <w:rPr>
          <w:rFonts w:eastAsia="Times New Roman" w:cstheme="minorHAnsi"/>
          <w:color w:val="000000"/>
          <w:kern w:val="0"/>
          <w:sz w:val="28"/>
          <w:szCs w:val="28"/>
          <w:lang w:val="en-IN" w:eastAsia="en-IN" w:bidi="ar-SA"/>
          <w14:ligatures w14:val="none"/>
        </w:rPr>
        <w:t>Wongswan</w:t>
      </w:r>
      <w:proofErr w:type="spellEnd"/>
      <w:r w:rsidRPr="00C0687B">
        <w:rPr>
          <w:rFonts w:eastAsia="Times New Roman" w:cstheme="minorHAnsi"/>
          <w:color w:val="000000"/>
          <w:kern w:val="0"/>
          <w:sz w:val="28"/>
          <w:szCs w:val="28"/>
          <w:lang w:val="en-IN" w:eastAsia="en-IN" w:bidi="ar-SA"/>
          <w14:ligatures w14:val="none"/>
        </w:rPr>
        <w:t>, J. &amp;., &amp; Jon. (2011, February 2). </w:t>
      </w:r>
      <w:r w:rsidRPr="00C0687B">
        <w:rPr>
          <w:rFonts w:eastAsia="Times New Roman" w:cstheme="minorHAnsi"/>
          <w:i/>
          <w:iCs/>
          <w:color w:val="000000"/>
          <w:kern w:val="0"/>
          <w:sz w:val="28"/>
          <w:szCs w:val="28"/>
          <w:lang w:val="en-IN" w:eastAsia="en-IN" w:bidi="ar-SA"/>
          <w14:ligatures w14:val="none"/>
        </w:rPr>
        <w:t>Global asset prices and FOMC announcements</w:t>
      </w:r>
      <w:r w:rsidRPr="00C0687B">
        <w:rPr>
          <w:rFonts w:eastAsia="Times New Roman" w:cstheme="minorHAnsi"/>
          <w:color w:val="000000"/>
          <w:kern w:val="0"/>
          <w:sz w:val="28"/>
          <w:szCs w:val="28"/>
          <w:lang w:val="en-IN" w:eastAsia="en-IN" w:bidi="ar-SA"/>
          <w14:ligatures w14:val="none"/>
        </w:rPr>
        <w:t>. Economics and Finance Research | IDEAS/RePEc. </w:t>
      </w:r>
      <w:hyperlink r:id="rId13" w:history="1">
        <w:r w:rsidRPr="00C0687B">
          <w:rPr>
            <w:rFonts w:eastAsia="Times New Roman" w:cstheme="minorHAnsi"/>
            <w:color w:val="000000"/>
            <w:kern w:val="0"/>
            <w:sz w:val="28"/>
            <w:szCs w:val="28"/>
            <w:u w:val="single"/>
            <w:lang w:val="en-IN" w:eastAsia="en-IN" w:bidi="ar-SA"/>
            <w14:ligatures w14:val="none"/>
          </w:rPr>
          <w:t>https://ideas.repec.org/a/eee/jimfin/v30y2011i3p547-571.html</w:t>
        </w:r>
      </w:hyperlink>
    </w:p>
    <w:p w14:paraId="3BA7B5F2" w14:textId="77777777" w:rsidR="00C0687B" w:rsidRPr="006A0E2E" w:rsidRDefault="00C0687B" w:rsidP="00C0687B">
      <w:pPr>
        <w:shd w:val="clear" w:color="auto" w:fill="FFFFFF"/>
        <w:spacing w:after="0" w:line="550" w:lineRule="atLeast"/>
        <w:ind w:left="720" w:right="75" w:hanging="720"/>
        <w:rPr>
          <w:rFonts w:eastAsia="Times New Roman" w:cstheme="minorHAnsi"/>
          <w:color w:val="000000"/>
          <w:kern w:val="0"/>
          <w:sz w:val="28"/>
          <w:szCs w:val="28"/>
          <w:lang w:val="en-IN" w:eastAsia="en-IN" w:bidi="ar-SA"/>
          <w14:ligatures w14:val="none"/>
        </w:rPr>
      </w:pPr>
      <w:r w:rsidRPr="00C0687B">
        <w:rPr>
          <w:rFonts w:eastAsia="Times New Roman" w:cstheme="minorHAnsi"/>
          <w:i/>
          <w:iCs/>
          <w:color w:val="000000"/>
          <w:kern w:val="0"/>
          <w:sz w:val="28"/>
          <w:szCs w:val="28"/>
          <w:lang w:val="en-IN" w:eastAsia="en-IN" w:bidi="ar-SA"/>
          <w14:ligatures w14:val="none"/>
        </w:rPr>
        <w:t>Investor sentiment and the pre-FOMC announcement drift</w:t>
      </w:r>
      <w:r w:rsidRPr="00C0687B">
        <w:rPr>
          <w:rFonts w:eastAsia="Times New Roman" w:cstheme="minorHAnsi"/>
          <w:color w:val="000000"/>
          <w:kern w:val="0"/>
          <w:sz w:val="28"/>
          <w:szCs w:val="28"/>
          <w:lang w:val="en-IN" w:eastAsia="en-IN" w:bidi="ar-SA"/>
          <w14:ligatures w14:val="none"/>
        </w:rPr>
        <w:t>. (n.d.). Welcome to Enlighten Publications - Enlighten Publications. </w:t>
      </w:r>
      <w:hyperlink r:id="rId14" w:history="1">
        <w:r w:rsidRPr="00C0687B">
          <w:rPr>
            <w:rFonts w:eastAsia="Times New Roman" w:cstheme="minorHAnsi"/>
            <w:color w:val="000000"/>
            <w:kern w:val="0"/>
            <w:sz w:val="28"/>
            <w:szCs w:val="28"/>
            <w:u w:val="single"/>
            <w:lang w:val="en-IN" w:eastAsia="en-IN" w:bidi="ar-SA"/>
            <w14:ligatures w14:val="none"/>
          </w:rPr>
          <w:t>https://eprints.gla.ac.uk/209237/</w:t>
        </w:r>
      </w:hyperlink>
    </w:p>
    <w:p w14:paraId="769FA3CA" w14:textId="7FF5AD30" w:rsidR="00020F43" w:rsidRPr="00C0687B" w:rsidRDefault="00020F43" w:rsidP="00C0687B">
      <w:pPr>
        <w:shd w:val="clear" w:color="auto" w:fill="FFFFFF"/>
        <w:spacing w:after="0" w:line="550" w:lineRule="atLeast"/>
        <w:ind w:left="720" w:right="75" w:hanging="720"/>
        <w:rPr>
          <w:rFonts w:eastAsia="Times New Roman" w:cstheme="minorHAnsi"/>
          <w:color w:val="000000"/>
          <w:kern w:val="0"/>
          <w:sz w:val="28"/>
          <w:szCs w:val="28"/>
          <w:lang w:val="en-IN" w:eastAsia="en-IN" w:bidi="ar-SA"/>
          <w14:ligatures w14:val="none"/>
        </w:rPr>
      </w:pPr>
      <w:r w:rsidRPr="006A0E2E">
        <w:rPr>
          <w:rFonts w:eastAsia="Times New Roman" w:cstheme="minorHAnsi"/>
          <w:color w:val="000000"/>
          <w:kern w:val="0"/>
          <w:sz w:val="28"/>
          <w:szCs w:val="28"/>
          <w:lang w:val="en-IN" w:eastAsia="en-IN" w:bidi="ar-SA"/>
          <w14:ligatures w14:val="none"/>
        </w:rPr>
        <w:t>LUCCA, D. O., &amp; MOENCH, E. (2015). The Pre-FOMC Announcement Drift. The Journal of Finance, 70(1), 329–371. http://www.jstor.org/stable/43611030</w:t>
      </w:r>
    </w:p>
    <w:p w14:paraId="2BFBC67A" w14:textId="77777777" w:rsidR="00C0687B" w:rsidRPr="00C0687B" w:rsidRDefault="00C0687B" w:rsidP="00C0687B">
      <w:pPr>
        <w:shd w:val="clear" w:color="auto" w:fill="FFFFFF"/>
        <w:spacing w:after="0" w:line="550" w:lineRule="atLeast"/>
        <w:ind w:left="720" w:right="75" w:hanging="720"/>
        <w:rPr>
          <w:rFonts w:eastAsia="Times New Roman" w:cstheme="minorHAnsi"/>
          <w:color w:val="000000"/>
          <w:kern w:val="0"/>
          <w:sz w:val="28"/>
          <w:szCs w:val="28"/>
          <w:lang w:val="en-IN" w:eastAsia="en-IN" w:bidi="ar-SA"/>
          <w14:ligatures w14:val="none"/>
        </w:rPr>
      </w:pPr>
      <w:proofErr w:type="spellStart"/>
      <w:r w:rsidRPr="00C0687B">
        <w:rPr>
          <w:rFonts w:eastAsia="Times New Roman" w:cstheme="minorHAnsi"/>
          <w:color w:val="000000"/>
          <w:kern w:val="0"/>
          <w:sz w:val="28"/>
          <w:szCs w:val="28"/>
          <w:lang w:val="en-IN" w:eastAsia="en-IN" w:bidi="ar-SA"/>
          <w14:ligatures w14:val="none"/>
        </w:rPr>
        <w:t>Tadle</w:t>
      </w:r>
      <w:proofErr w:type="spellEnd"/>
      <w:r w:rsidRPr="00C0687B">
        <w:rPr>
          <w:rFonts w:eastAsia="Times New Roman" w:cstheme="minorHAnsi"/>
          <w:color w:val="000000"/>
          <w:kern w:val="0"/>
          <w:sz w:val="28"/>
          <w:szCs w:val="28"/>
          <w:lang w:val="en-IN" w:eastAsia="en-IN" w:bidi="ar-SA"/>
          <w14:ligatures w14:val="none"/>
        </w:rPr>
        <w:t>, &amp; Cruz, R. (2022, February 2). </w:t>
      </w:r>
      <w:r w:rsidRPr="00C0687B">
        <w:rPr>
          <w:rFonts w:eastAsia="Times New Roman" w:cstheme="minorHAnsi"/>
          <w:i/>
          <w:iCs/>
          <w:color w:val="000000"/>
          <w:kern w:val="0"/>
          <w:sz w:val="28"/>
          <w:szCs w:val="28"/>
          <w:lang w:val="en-IN" w:eastAsia="en-IN" w:bidi="ar-SA"/>
          <w14:ligatures w14:val="none"/>
        </w:rPr>
        <w:t>FOMC minutes sentiments and their impact on financial market</w:t>
      </w:r>
      <w:r w:rsidRPr="00C0687B">
        <w:rPr>
          <w:rFonts w:eastAsia="Times New Roman" w:cstheme="minorHAnsi"/>
          <w:color w:val="000000"/>
          <w:kern w:val="0"/>
          <w:sz w:val="28"/>
          <w:szCs w:val="28"/>
          <w:lang w:val="en-IN" w:eastAsia="en-IN" w:bidi="ar-SA"/>
          <w14:ligatures w14:val="none"/>
        </w:rPr>
        <w:t>. Economics and Finance Research | IDEAS/RePEc. </w:t>
      </w:r>
      <w:hyperlink r:id="rId15" w:history="1">
        <w:r w:rsidRPr="00C0687B">
          <w:rPr>
            <w:rFonts w:eastAsia="Times New Roman" w:cstheme="minorHAnsi"/>
            <w:color w:val="000000"/>
            <w:kern w:val="0"/>
            <w:sz w:val="28"/>
            <w:szCs w:val="28"/>
            <w:u w:val="single"/>
            <w:lang w:val="en-IN" w:eastAsia="en-IN" w:bidi="ar-SA"/>
            <w14:ligatures w14:val="none"/>
          </w:rPr>
          <w:t>https://ideas.repec.org/a/eee/jebusi/v118y2022ics0148619521000394.html</w:t>
        </w:r>
      </w:hyperlink>
    </w:p>
    <w:p w14:paraId="74FA0DAF" w14:textId="77777777" w:rsidR="00C0687B" w:rsidRPr="00C0687B" w:rsidRDefault="00C0687B" w:rsidP="00C0687B">
      <w:pPr>
        <w:shd w:val="clear" w:color="auto" w:fill="FFFFFF"/>
        <w:spacing w:after="0" w:line="550" w:lineRule="atLeast"/>
        <w:ind w:left="720" w:right="75" w:hanging="720"/>
        <w:rPr>
          <w:rFonts w:eastAsia="Times New Roman" w:cstheme="minorHAnsi"/>
          <w:color w:val="000000"/>
          <w:kern w:val="0"/>
          <w:sz w:val="28"/>
          <w:szCs w:val="28"/>
          <w:lang w:val="en-IN" w:eastAsia="en-IN" w:bidi="ar-SA"/>
          <w14:ligatures w14:val="none"/>
        </w:rPr>
      </w:pPr>
      <w:r w:rsidRPr="00C0687B">
        <w:rPr>
          <w:rFonts w:eastAsia="Times New Roman" w:cstheme="minorHAnsi"/>
          <w:color w:val="000000"/>
          <w:kern w:val="0"/>
          <w:sz w:val="28"/>
          <w:szCs w:val="28"/>
          <w:lang w:val="en-IN" w:eastAsia="en-IN" w:bidi="ar-SA"/>
          <w14:ligatures w14:val="none"/>
        </w:rPr>
        <w:t>Trung Hoang Bao &amp; Cesario Mateus. (2017, February 2). </w:t>
      </w:r>
      <w:r w:rsidRPr="00C0687B">
        <w:rPr>
          <w:rFonts w:eastAsia="Times New Roman" w:cstheme="minorHAnsi"/>
          <w:i/>
          <w:iCs/>
          <w:color w:val="000000"/>
          <w:kern w:val="0"/>
          <w:sz w:val="28"/>
          <w:szCs w:val="28"/>
          <w:lang w:val="en-IN" w:eastAsia="en-IN" w:bidi="ar-SA"/>
          <w14:ligatures w14:val="none"/>
        </w:rPr>
        <w:t xml:space="preserve">Impact of FOMC announcement on stock price index in </w:t>
      </w:r>
      <w:proofErr w:type="spellStart"/>
      <w:r w:rsidRPr="00C0687B">
        <w:rPr>
          <w:rFonts w:eastAsia="Times New Roman" w:cstheme="minorHAnsi"/>
          <w:i/>
          <w:iCs/>
          <w:color w:val="000000"/>
          <w:kern w:val="0"/>
          <w:sz w:val="28"/>
          <w:szCs w:val="28"/>
          <w:lang w:val="en-IN" w:eastAsia="en-IN" w:bidi="ar-SA"/>
          <w14:ligatures w14:val="none"/>
        </w:rPr>
        <w:t>Southeas</w:t>
      </w:r>
      <w:proofErr w:type="spellEnd"/>
      <w:r w:rsidRPr="00C0687B">
        <w:rPr>
          <w:rFonts w:eastAsia="Times New Roman" w:cstheme="minorHAnsi"/>
          <w:color w:val="000000"/>
          <w:kern w:val="0"/>
          <w:sz w:val="28"/>
          <w:szCs w:val="28"/>
          <w:lang w:val="en-IN" w:eastAsia="en-IN" w:bidi="ar-SA"/>
          <w14:ligatures w14:val="none"/>
        </w:rPr>
        <w:t>. Economics and Finance Research | IDEAS/RePEc. </w:t>
      </w:r>
      <w:hyperlink r:id="rId16" w:history="1">
        <w:r w:rsidRPr="00C0687B">
          <w:rPr>
            <w:rFonts w:eastAsia="Times New Roman" w:cstheme="minorHAnsi"/>
            <w:color w:val="000000"/>
            <w:kern w:val="0"/>
            <w:sz w:val="28"/>
            <w:szCs w:val="28"/>
            <w:u w:val="single"/>
            <w:lang w:val="en-IN" w:eastAsia="en-IN" w:bidi="ar-SA"/>
            <w14:ligatures w14:val="none"/>
          </w:rPr>
          <w:t>https://ideas.repec.org/a/eme/cfripp/cfri-06-2016-0051.html</w:t>
        </w:r>
      </w:hyperlink>
    </w:p>
    <w:p w14:paraId="6F0D81CC" w14:textId="77777777" w:rsidR="00C0687B" w:rsidRPr="009C09AD" w:rsidRDefault="00C0687B" w:rsidP="006D20F5">
      <w:pPr>
        <w:rPr>
          <w:rFonts w:cstheme="minorHAnsi"/>
          <w:sz w:val="28"/>
          <w:szCs w:val="28"/>
          <w:lang w:val="en-US"/>
        </w:rPr>
      </w:pPr>
    </w:p>
    <w:sectPr w:rsidR="00C0687B" w:rsidRPr="009C09AD" w:rsidSect="007F09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54025"/>
    <w:multiLevelType w:val="hybridMultilevel"/>
    <w:tmpl w:val="F89633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CE560BC"/>
    <w:multiLevelType w:val="hybridMultilevel"/>
    <w:tmpl w:val="B49C327C"/>
    <w:lvl w:ilvl="0" w:tplc="2BE43106">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8F441F"/>
    <w:multiLevelType w:val="hybridMultilevel"/>
    <w:tmpl w:val="F418E4DA"/>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7D185426"/>
    <w:multiLevelType w:val="hybridMultilevel"/>
    <w:tmpl w:val="FC6E9678"/>
    <w:lvl w:ilvl="0" w:tplc="2BE43106">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6677805">
    <w:abstractNumId w:val="3"/>
  </w:num>
  <w:num w:numId="2" w16cid:durableId="1471508656">
    <w:abstractNumId w:val="1"/>
  </w:num>
  <w:num w:numId="3" w16cid:durableId="204027653">
    <w:abstractNumId w:val="2"/>
  </w:num>
  <w:num w:numId="4" w16cid:durableId="527646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A0F"/>
    <w:rsid w:val="000075A0"/>
    <w:rsid w:val="0001014A"/>
    <w:rsid w:val="000120E7"/>
    <w:rsid w:val="0001260E"/>
    <w:rsid w:val="00014BB4"/>
    <w:rsid w:val="0001725A"/>
    <w:rsid w:val="00020F43"/>
    <w:rsid w:val="00036CB9"/>
    <w:rsid w:val="000370BC"/>
    <w:rsid w:val="00040517"/>
    <w:rsid w:val="00050749"/>
    <w:rsid w:val="0005094C"/>
    <w:rsid w:val="00056686"/>
    <w:rsid w:val="00064F0C"/>
    <w:rsid w:val="000666D7"/>
    <w:rsid w:val="00066E3C"/>
    <w:rsid w:val="00070069"/>
    <w:rsid w:val="000730DA"/>
    <w:rsid w:val="0007338F"/>
    <w:rsid w:val="00073B99"/>
    <w:rsid w:val="00080A4C"/>
    <w:rsid w:val="000818A2"/>
    <w:rsid w:val="000874A8"/>
    <w:rsid w:val="00095074"/>
    <w:rsid w:val="000966FE"/>
    <w:rsid w:val="000972A8"/>
    <w:rsid w:val="000A229A"/>
    <w:rsid w:val="000A35FE"/>
    <w:rsid w:val="000A4675"/>
    <w:rsid w:val="000A5461"/>
    <w:rsid w:val="000A7353"/>
    <w:rsid w:val="000B0DB4"/>
    <w:rsid w:val="000B1195"/>
    <w:rsid w:val="000C3574"/>
    <w:rsid w:val="000D39C2"/>
    <w:rsid w:val="000D70D7"/>
    <w:rsid w:val="000D7CB3"/>
    <w:rsid w:val="000E1F64"/>
    <w:rsid w:val="000E313D"/>
    <w:rsid w:val="000E5AC3"/>
    <w:rsid w:val="000F70F2"/>
    <w:rsid w:val="001000F9"/>
    <w:rsid w:val="00100421"/>
    <w:rsid w:val="0010302D"/>
    <w:rsid w:val="001043DD"/>
    <w:rsid w:val="001046D7"/>
    <w:rsid w:val="00104FD2"/>
    <w:rsid w:val="001058E8"/>
    <w:rsid w:val="0010757C"/>
    <w:rsid w:val="001078D0"/>
    <w:rsid w:val="00107D11"/>
    <w:rsid w:val="00110F1C"/>
    <w:rsid w:val="00112758"/>
    <w:rsid w:val="00112918"/>
    <w:rsid w:val="001135D3"/>
    <w:rsid w:val="001136EE"/>
    <w:rsid w:val="00113F71"/>
    <w:rsid w:val="00113FB4"/>
    <w:rsid w:val="00117C5E"/>
    <w:rsid w:val="001215C8"/>
    <w:rsid w:val="001224CB"/>
    <w:rsid w:val="00125DB1"/>
    <w:rsid w:val="001260A5"/>
    <w:rsid w:val="00127697"/>
    <w:rsid w:val="0012792E"/>
    <w:rsid w:val="00132DBD"/>
    <w:rsid w:val="00134767"/>
    <w:rsid w:val="00137C8E"/>
    <w:rsid w:val="0014084B"/>
    <w:rsid w:val="00145FB1"/>
    <w:rsid w:val="00146770"/>
    <w:rsid w:val="00147AE3"/>
    <w:rsid w:val="001501D9"/>
    <w:rsid w:val="00153730"/>
    <w:rsid w:val="0016224B"/>
    <w:rsid w:val="00162A5E"/>
    <w:rsid w:val="00165F31"/>
    <w:rsid w:val="00171CD6"/>
    <w:rsid w:val="00177726"/>
    <w:rsid w:val="00181F94"/>
    <w:rsid w:val="00182E1B"/>
    <w:rsid w:val="00184153"/>
    <w:rsid w:val="001853EC"/>
    <w:rsid w:val="0018778D"/>
    <w:rsid w:val="001900D7"/>
    <w:rsid w:val="00193484"/>
    <w:rsid w:val="0019642C"/>
    <w:rsid w:val="001A053B"/>
    <w:rsid w:val="001A1BB2"/>
    <w:rsid w:val="001A2D58"/>
    <w:rsid w:val="001A59F2"/>
    <w:rsid w:val="001B01F8"/>
    <w:rsid w:val="001B3EFB"/>
    <w:rsid w:val="001B4B62"/>
    <w:rsid w:val="001B5442"/>
    <w:rsid w:val="001B5B9E"/>
    <w:rsid w:val="001B5D1C"/>
    <w:rsid w:val="001B74DA"/>
    <w:rsid w:val="001C03A2"/>
    <w:rsid w:val="001C271E"/>
    <w:rsid w:val="001C453A"/>
    <w:rsid w:val="001C6EC9"/>
    <w:rsid w:val="001D5892"/>
    <w:rsid w:val="001D6F7B"/>
    <w:rsid w:val="001D71BD"/>
    <w:rsid w:val="001E002F"/>
    <w:rsid w:val="001E1774"/>
    <w:rsid w:val="001E5556"/>
    <w:rsid w:val="001E7045"/>
    <w:rsid w:val="001E7BF7"/>
    <w:rsid w:val="001F33B3"/>
    <w:rsid w:val="001F55D9"/>
    <w:rsid w:val="001F6C86"/>
    <w:rsid w:val="001F6E42"/>
    <w:rsid w:val="00200FF3"/>
    <w:rsid w:val="00203984"/>
    <w:rsid w:val="0021161A"/>
    <w:rsid w:val="00211F4A"/>
    <w:rsid w:val="00220A3E"/>
    <w:rsid w:val="00222D67"/>
    <w:rsid w:val="0022642C"/>
    <w:rsid w:val="00226560"/>
    <w:rsid w:val="00240201"/>
    <w:rsid w:val="00244788"/>
    <w:rsid w:val="002511D6"/>
    <w:rsid w:val="00255021"/>
    <w:rsid w:val="0025641B"/>
    <w:rsid w:val="0026332A"/>
    <w:rsid w:val="002678A5"/>
    <w:rsid w:val="00271FB5"/>
    <w:rsid w:val="00272916"/>
    <w:rsid w:val="00273501"/>
    <w:rsid w:val="002770DA"/>
    <w:rsid w:val="0027737E"/>
    <w:rsid w:val="00280F68"/>
    <w:rsid w:val="002814B1"/>
    <w:rsid w:val="00291C9F"/>
    <w:rsid w:val="00292CD7"/>
    <w:rsid w:val="002A0206"/>
    <w:rsid w:val="002A39EA"/>
    <w:rsid w:val="002A4601"/>
    <w:rsid w:val="002A5589"/>
    <w:rsid w:val="002A7818"/>
    <w:rsid w:val="002B03F6"/>
    <w:rsid w:val="002B141C"/>
    <w:rsid w:val="002B288C"/>
    <w:rsid w:val="002B4F57"/>
    <w:rsid w:val="002C0FF2"/>
    <w:rsid w:val="002C185D"/>
    <w:rsid w:val="002C188B"/>
    <w:rsid w:val="002C28AA"/>
    <w:rsid w:val="002C6BCC"/>
    <w:rsid w:val="002D4795"/>
    <w:rsid w:val="002D5587"/>
    <w:rsid w:val="002E2FD6"/>
    <w:rsid w:val="002E5032"/>
    <w:rsid w:val="002E63FD"/>
    <w:rsid w:val="002E7C94"/>
    <w:rsid w:val="002F05EF"/>
    <w:rsid w:val="002F1790"/>
    <w:rsid w:val="002F33AE"/>
    <w:rsid w:val="002F6668"/>
    <w:rsid w:val="002F7553"/>
    <w:rsid w:val="00303265"/>
    <w:rsid w:val="00304B43"/>
    <w:rsid w:val="0030661A"/>
    <w:rsid w:val="003067D6"/>
    <w:rsid w:val="00306844"/>
    <w:rsid w:val="00313C6C"/>
    <w:rsid w:val="00316F0B"/>
    <w:rsid w:val="00317D10"/>
    <w:rsid w:val="00320BD8"/>
    <w:rsid w:val="00321B9D"/>
    <w:rsid w:val="0032226C"/>
    <w:rsid w:val="00325EF9"/>
    <w:rsid w:val="00331FB7"/>
    <w:rsid w:val="00332259"/>
    <w:rsid w:val="003355F3"/>
    <w:rsid w:val="00337C6E"/>
    <w:rsid w:val="00340389"/>
    <w:rsid w:val="00340A59"/>
    <w:rsid w:val="0034269C"/>
    <w:rsid w:val="0034676F"/>
    <w:rsid w:val="00346E34"/>
    <w:rsid w:val="003511C6"/>
    <w:rsid w:val="00354238"/>
    <w:rsid w:val="00354994"/>
    <w:rsid w:val="003571AC"/>
    <w:rsid w:val="00360ED1"/>
    <w:rsid w:val="003640F0"/>
    <w:rsid w:val="00377EE8"/>
    <w:rsid w:val="00382356"/>
    <w:rsid w:val="00383847"/>
    <w:rsid w:val="003848EA"/>
    <w:rsid w:val="00386C0D"/>
    <w:rsid w:val="0038788A"/>
    <w:rsid w:val="00394E95"/>
    <w:rsid w:val="003A0D5A"/>
    <w:rsid w:val="003A0FC6"/>
    <w:rsid w:val="003A3958"/>
    <w:rsid w:val="003A3A9B"/>
    <w:rsid w:val="003A652E"/>
    <w:rsid w:val="003B08EF"/>
    <w:rsid w:val="003B527A"/>
    <w:rsid w:val="003B5451"/>
    <w:rsid w:val="003B686B"/>
    <w:rsid w:val="003C11AB"/>
    <w:rsid w:val="003C2D81"/>
    <w:rsid w:val="003C3E25"/>
    <w:rsid w:val="003C76E0"/>
    <w:rsid w:val="003D3F77"/>
    <w:rsid w:val="003D4137"/>
    <w:rsid w:val="003D692D"/>
    <w:rsid w:val="003E0B63"/>
    <w:rsid w:val="003F0BB7"/>
    <w:rsid w:val="003F7F36"/>
    <w:rsid w:val="00400659"/>
    <w:rsid w:val="004020EF"/>
    <w:rsid w:val="00403B25"/>
    <w:rsid w:val="00411104"/>
    <w:rsid w:val="00415C8C"/>
    <w:rsid w:val="004206D7"/>
    <w:rsid w:val="00420D18"/>
    <w:rsid w:val="00422ECF"/>
    <w:rsid w:val="00425AFB"/>
    <w:rsid w:val="00431D17"/>
    <w:rsid w:val="00437650"/>
    <w:rsid w:val="00437D3A"/>
    <w:rsid w:val="004516C4"/>
    <w:rsid w:val="00451CC8"/>
    <w:rsid w:val="0046701F"/>
    <w:rsid w:val="00467464"/>
    <w:rsid w:val="0047047B"/>
    <w:rsid w:val="00475000"/>
    <w:rsid w:val="004765E0"/>
    <w:rsid w:val="004816D7"/>
    <w:rsid w:val="00482363"/>
    <w:rsid w:val="0048499D"/>
    <w:rsid w:val="004878AE"/>
    <w:rsid w:val="00492930"/>
    <w:rsid w:val="004954FA"/>
    <w:rsid w:val="00496949"/>
    <w:rsid w:val="004A0B0C"/>
    <w:rsid w:val="004A1558"/>
    <w:rsid w:val="004A3D38"/>
    <w:rsid w:val="004A6016"/>
    <w:rsid w:val="004A7168"/>
    <w:rsid w:val="004A7636"/>
    <w:rsid w:val="004B1ECD"/>
    <w:rsid w:val="004B480C"/>
    <w:rsid w:val="004C1582"/>
    <w:rsid w:val="004C2686"/>
    <w:rsid w:val="004C4716"/>
    <w:rsid w:val="004D1E20"/>
    <w:rsid w:val="004D3D34"/>
    <w:rsid w:val="004E310B"/>
    <w:rsid w:val="004E3B6F"/>
    <w:rsid w:val="004E3EF4"/>
    <w:rsid w:val="004E4160"/>
    <w:rsid w:val="004E6EB1"/>
    <w:rsid w:val="004F2893"/>
    <w:rsid w:val="00500646"/>
    <w:rsid w:val="00501C6B"/>
    <w:rsid w:val="00506A2E"/>
    <w:rsid w:val="00506E64"/>
    <w:rsid w:val="00513D10"/>
    <w:rsid w:val="00514829"/>
    <w:rsid w:val="0051589B"/>
    <w:rsid w:val="00517C6F"/>
    <w:rsid w:val="005231EB"/>
    <w:rsid w:val="005262BC"/>
    <w:rsid w:val="00527ED6"/>
    <w:rsid w:val="00535A09"/>
    <w:rsid w:val="00535FD4"/>
    <w:rsid w:val="005410F8"/>
    <w:rsid w:val="00545507"/>
    <w:rsid w:val="00547938"/>
    <w:rsid w:val="00547D09"/>
    <w:rsid w:val="005535E8"/>
    <w:rsid w:val="005544B0"/>
    <w:rsid w:val="00561730"/>
    <w:rsid w:val="005668D6"/>
    <w:rsid w:val="0056760C"/>
    <w:rsid w:val="00567A39"/>
    <w:rsid w:val="00571C6E"/>
    <w:rsid w:val="00572781"/>
    <w:rsid w:val="00572FF2"/>
    <w:rsid w:val="00573228"/>
    <w:rsid w:val="00581428"/>
    <w:rsid w:val="0058269A"/>
    <w:rsid w:val="00587175"/>
    <w:rsid w:val="0059064E"/>
    <w:rsid w:val="00592DBC"/>
    <w:rsid w:val="005951A0"/>
    <w:rsid w:val="00595E7F"/>
    <w:rsid w:val="005A098F"/>
    <w:rsid w:val="005A1672"/>
    <w:rsid w:val="005A1A64"/>
    <w:rsid w:val="005A1C20"/>
    <w:rsid w:val="005B1C6E"/>
    <w:rsid w:val="005B48C8"/>
    <w:rsid w:val="005B719C"/>
    <w:rsid w:val="005C2D99"/>
    <w:rsid w:val="005C4951"/>
    <w:rsid w:val="005C7BAE"/>
    <w:rsid w:val="005D17F7"/>
    <w:rsid w:val="005D4BD1"/>
    <w:rsid w:val="005D5BBF"/>
    <w:rsid w:val="005D5CC6"/>
    <w:rsid w:val="005D79B3"/>
    <w:rsid w:val="005D7DD3"/>
    <w:rsid w:val="005E264A"/>
    <w:rsid w:val="005E2C36"/>
    <w:rsid w:val="005E302A"/>
    <w:rsid w:val="005E7CCF"/>
    <w:rsid w:val="005F0A7F"/>
    <w:rsid w:val="005F44DC"/>
    <w:rsid w:val="00610F31"/>
    <w:rsid w:val="0061140F"/>
    <w:rsid w:val="00622FC5"/>
    <w:rsid w:val="00624A55"/>
    <w:rsid w:val="00625D80"/>
    <w:rsid w:val="00626252"/>
    <w:rsid w:val="006279C8"/>
    <w:rsid w:val="006439F8"/>
    <w:rsid w:val="00645505"/>
    <w:rsid w:val="00650FDB"/>
    <w:rsid w:val="006516AD"/>
    <w:rsid w:val="006534E2"/>
    <w:rsid w:val="00654DEE"/>
    <w:rsid w:val="00654EAA"/>
    <w:rsid w:val="006627A3"/>
    <w:rsid w:val="0066339A"/>
    <w:rsid w:val="006644B9"/>
    <w:rsid w:val="006708BB"/>
    <w:rsid w:val="00671963"/>
    <w:rsid w:val="0067299D"/>
    <w:rsid w:val="00682674"/>
    <w:rsid w:val="00683893"/>
    <w:rsid w:val="00685F9C"/>
    <w:rsid w:val="006868FC"/>
    <w:rsid w:val="006869A4"/>
    <w:rsid w:val="00690B42"/>
    <w:rsid w:val="00693C6A"/>
    <w:rsid w:val="00695BA3"/>
    <w:rsid w:val="0069680D"/>
    <w:rsid w:val="006A0CBB"/>
    <w:rsid w:val="006A0E2E"/>
    <w:rsid w:val="006A4501"/>
    <w:rsid w:val="006A5756"/>
    <w:rsid w:val="006B02B9"/>
    <w:rsid w:val="006C0F8C"/>
    <w:rsid w:val="006C3D9A"/>
    <w:rsid w:val="006C40BE"/>
    <w:rsid w:val="006C590C"/>
    <w:rsid w:val="006D20F5"/>
    <w:rsid w:val="006D47DA"/>
    <w:rsid w:val="006F6A5C"/>
    <w:rsid w:val="006F6C33"/>
    <w:rsid w:val="00701EA1"/>
    <w:rsid w:val="0070716E"/>
    <w:rsid w:val="00707305"/>
    <w:rsid w:val="0071787A"/>
    <w:rsid w:val="00720344"/>
    <w:rsid w:val="00722738"/>
    <w:rsid w:val="00727437"/>
    <w:rsid w:val="00727AC6"/>
    <w:rsid w:val="00730432"/>
    <w:rsid w:val="007317EB"/>
    <w:rsid w:val="00735EAD"/>
    <w:rsid w:val="007428C4"/>
    <w:rsid w:val="00751EBA"/>
    <w:rsid w:val="00753475"/>
    <w:rsid w:val="007633EB"/>
    <w:rsid w:val="007654A2"/>
    <w:rsid w:val="007718DA"/>
    <w:rsid w:val="0078796C"/>
    <w:rsid w:val="007927AA"/>
    <w:rsid w:val="0079326B"/>
    <w:rsid w:val="007946AA"/>
    <w:rsid w:val="007A268F"/>
    <w:rsid w:val="007B201D"/>
    <w:rsid w:val="007C33FA"/>
    <w:rsid w:val="007D51EC"/>
    <w:rsid w:val="007E389A"/>
    <w:rsid w:val="007E6A1A"/>
    <w:rsid w:val="007F0936"/>
    <w:rsid w:val="007F187C"/>
    <w:rsid w:val="007F51B4"/>
    <w:rsid w:val="007F55EB"/>
    <w:rsid w:val="007F625F"/>
    <w:rsid w:val="0080481B"/>
    <w:rsid w:val="00807E66"/>
    <w:rsid w:val="00821832"/>
    <w:rsid w:val="008247F6"/>
    <w:rsid w:val="00825A7E"/>
    <w:rsid w:val="008271C7"/>
    <w:rsid w:val="00827AFD"/>
    <w:rsid w:val="008370AA"/>
    <w:rsid w:val="00841FE8"/>
    <w:rsid w:val="00843E18"/>
    <w:rsid w:val="008447CD"/>
    <w:rsid w:val="00844BF2"/>
    <w:rsid w:val="008463B4"/>
    <w:rsid w:val="00847EB0"/>
    <w:rsid w:val="008508B6"/>
    <w:rsid w:val="00851F46"/>
    <w:rsid w:val="00852019"/>
    <w:rsid w:val="008557C0"/>
    <w:rsid w:val="00856ED1"/>
    <w:rsid w:val="00860E95"/>
    <w:rsid w:val="008633E9"/>
    <w:rsid w:val="00864501"/>
    <w:rsid w:val="008702D9"/>
    <w:rsid w:val="00871B82"/>
    <w:rsid w:val="00873D65"/>
    <w:rsid w:val="00874A3A"/>
    <w:rsid w:val="00874DF3"/>
    <w:rsid w:val="008867A3"/>
    <w:rsid w:val="008A026A"/>
    <w:rsid w:val="008A1B7E"/>
    <w:rsid w:val="008A6E6D"/>
    <w:rsid w:val="008B1722"/>
    <w:rsid w:val="008B1F2B"/>
    <w:rsid w:val="008B30C2"/>
    <w:rsid w:val="008B38F0"/>
    <w:rsid w:val="008B587D"/>
    <w:rsid w:val="008C2C50"/>
    <w:rsid w:val="008C302F"/>
    <w:rsid w:val="008C3817"/>
    <w:rsid w:val="008C550E"/>
    <w:rsid w:val="008C7BC7"/>
    <w:rsid w:val="008D24AD"/>
    <w:rsid w:val="008D27B1"/>
    <w:rsid w:val="008D6F1D"/>
    <w:rsid w:val="008E3B83"/>
    <w:rsid w:val="008E4E35"/>
    <w:rsid w:val="008E6D32"/>
    <w:rsid w:val="008F2093"/>
    <w:rsid w:val="008F597F"/>
    <w:rsid w:val="008F718E"/>
    <w:rsid w:val="009007DF"/>
    <w:rsid w:val="00901B95"/>
    <w:rsid w:val="0090299A"/>
    <w:rsid w:val="0090615A"/>
    <w:rsid w:val="00913CCE"/>
    <w:rsid w:val="009161A8"/>
    <w:rsid w:val="0091761D"/>
    <w:rsid w:val="00917FCF"/>
    <w:rsid w:val="0092183D"/>
    <w:rsid w:val="00924B84"/>
    <w:rsid w:val="00925F2E"/>
    <w:rsid w:val="00931838"/>
    <w:rsid w:val="00931E97"/>
    <w:rsid w:val="0093604D"/>
    <w:rsid w:val="00942669"/>
    <w:rsid w:val="0094376E"/>
    <w:rsid w:val="00943F21"/>
    <w:rsid w:val="0095087C"/>
    <w:rsid w:val="0096260A"/>
    <w:rsid w:val="00967A63"/>
    <w:rsid w:val="00967AAC"/>
    <w:rsid w:val="00967F1F"/>
    <w:rsid w:val="009713B8"/>
    <w:rsid w:val="0098182D"/>
    <w:rsid w:val="00982163"/>
    <w:rsid w:val="00984FFC"/>
    <w:rsid w:val="009903D8"/>
    <w:rsid w:val="009911A2"/>
    <w:rsid w:val="0099501B"/>
    <w:rsid w:val="009A2721"/>
    <w:rsid w:val="009A7AE5"/>
    <w:rsid w:val="009C09AD"/>
    <w:rsid w:val="009C4A20"/>
    <w:rsid w:val="009C71DF"/>
    <w:rsid w:val="009C7A32"/>
    <w:rsid w:val="009D02DF"/>
    <w:rsid w:val="009D734A"/>
    <w:rsid w:val="009E0314"/>
    <w:rsid w:val="009E18F6"/>
    <w:rsid w:val="009E2B94"/>
    <w:rsid w:val="009E7ABF"/>
    <w:rsid w:val="00A01005"/>
    <w:rsid w:val="00A022F4"/>
    <w:rsid w:val="00A02AC6"/>
    <w:rsid w:val="00A078C1"/>
    <w:rsid w:val="00A11DE2"/>
    <w:rsid w:val="00A132BD"/>
    <w:rsid w:val="00A146B8"/>
    <w:rsid w:val="00A1636A"/>
    <w:rsid w:val="00A172BB"/>
    <w:rsid w:val="00A22851"/>
    <w:rsid w:val="00A25FF7"/>
    <w:rsid w:val="00A306DB"/>
    <w:rsid w:val="00A3179D"/>
    <w:rsid w:val="00A321D6"/>
    <w:rsid w:val="00A35AB1"/>
    <w:rsid w:val="00A37E7C"/>
    <w:rsid w:val="00A45D36"/>
    <w:rsid w:val="00A55464"/>
    <w:rsid w:val="00A62864"/>
    <w:rsid w:val="00A62D95"/>
    <w:rsid w:val="00A70CC0"/>
    <w:rsid w:val="00A7162F"/>
    <w:rsid w:val="00A723D9"/>
    <w:rsid w:val="00A72FC9"/>
    <w:rsid w:val="00A74F1A"/>
    <w:rsid w:val="00A7697C"/>
    <w:rsid w:val="00A81641"/>
    <w:rsid w:val="00A865EE"/>
    <w:rsid w:val="00A924B1"/>
    <w:rsid w:val="00A93F21"/>
    <w:rsid w:val="00A94620"/>
    <w:rsid w:val="00AA1A9B"/>
    <w:rsid w:val="00AA1C79"/>
    <w:rsid w:val="00AA32B0"/>
    <w:rsid w:val="00AB5D25"/>
    <w:rsid w:val="00AB6172"/>
    <w:rsid w:val="00AB6ADF"/>
    <w:rsid w:val="00AC2CEE"/>
    <w:rsid w:val="00AC5249"/>
    <w:rsid w:val="00AD0119"/>
    <w:rsid w:val="00AD1083"/>
    <w:rsid w:val="00AD5B2B"/>
    <w:rsid w:val="00AD6B40"/>
    <w:rsid w:val="00AE10F1"/>
    <w:rsid w:val="00AE1F36"/>
    <w:rsid w:val="00AE442B"/>
    <w:rsid w:val="00AE58B2"/>
    <w:rsid w:val="00AE6FF8"/>
    <w:rsid w:val="00AE7CF3"/>
    <w:rsid w:val="00AE7FFC"/>
    <w:rsid w:val="00AF0689"/>
    <w:rsid w:val="00AF1480"/>
    <w:rsid w:val="00AF4A1F"/>
    <w:rsid w:val="00B07446"/>
    <w:rsid w:val="00B12CAB"/>
    <w:rsid w:val="00B1629E"/>
    <w:rsid w:val="00B224FE"/>
    <w:rsid w:val="00B25150"/>
    <w:rsid w:val="00B27C3D"/>
    <w:rsid w:val="00B3105F"/>
    <w:rsid w:val="00B3278E"/>
    <w:rsid w:val="00B33A3B"/>
    <w:rsid w:val="00B369E1"/>
    <w:rsid w:val="00B37E16"/>
    <w:rsid w:val="00B52BBB"/>
    <w:rsid w:val="00B702FA"/>
    <w:rsid w:val="00B7246E"/>
    <w:rsid w:val="00B74816"/>
    <w:rsid w:val="00B77B11"/>
    <w:rsid w:val="00B77C6E"/>
    <w:rsid w:val="00B85CB6"/>
    <w:rsid w:val="00B91471"/>
    <w:rsid w:val="00B9336A"/>
    <w:rsid w:val="00B9362E"/>
    <w:rsid w:val="00BA0FFA"/>
    <w:rsid w:val="00BA22AB"/>
    <w:rsid w:val="00BA3682"/>
    <w:rsid w:val="00BB2C54"/>
    <w:rsid w:val="00BC082F"/>
    <w:rsid w:val="00BC56BD"/>
    <w:rsid w:val="00BC644E"/>
    <w:rsid w:val="00BC653F"/>
    <w:rsid w:val="00BC7206"/>
    <w:rsid w:val="00BC76A7"/>
    <w:rsid w:val="00BD07F0"/>
    <w:rsid w:val="00BD558E"/>
    <w:rsid w:val="00BE02D3"/>
    <w:rsid w:val="00BE4577"/>
    <w:rsid w:val="00BF0BA3"/>
    <w:rsid w:val="00BF2011"/>
    <w:rsid w:val="00BF2547"/>
    <w:rsid w:val="00BF7DA3"/>
    <w:rsid w:val="00C01ED1"/>
    <w:rsid w:val="00C0687B"/>
    <w:rsid w:val="00C1043B"/>
    <w:rsid w:val="00C15627"/>
    <w:rsid w:val="00C21D58"/>
    <w:rsid w:val="00C22276"/>
    <w:rsid w:val="00C242A9"/>
    <w:rsid w:val="00C24960"/>
    <w:rsid w:val="00C26C6F"/>
    <w:rsid w:val="00C27641"/>
    <w:rsid w:val="00C34DC6"/>
    <w:rsid w:val="00C37002"/>
    <w:rsid w:val="00C4273C"/>
    <w:rsid w:val="00C50E86"/>
    <w:rsid w:val="00C56AE2"/>
    <w:rsid w:val="00C6350E"/>
    <w:rsid w:val="00C644E2"/>
    <w:rsid w:val="00C64BD9"/>
    <w:rsid w:val="00C6721E"/>
    <w:rsid w:val="00C676A3"/>
    <w:rsid w:val="00C6779A"/>
    <w:rsid w:val="00C75B49"/>
    <w:rsid w:val="00C81A0F"/>
    <w:rsid w:val="00C84FB1"/>
    <w:rsid w:val="00C87426"/>
    <w:rsid w:val="00C874F5"/>
    <w:rsid w:val="00C93A50"/>
    <w:rsid w:val="00C959EC"/>
    <w:rsid w:val="00C95DA1"/>
    <w:rsid w:val="00C96A4D"/>
    <w:rsid w:val="00C97E5F"/>
    <w:rsid w:val="00CA2B1E"/>
    <w:rsid w:val="00CA327C"/>
    <w:rsid w:val="00CA585A"/>
    <w:rsid w:val="00CA6DA1"/>
    <w:rsid w:val="00CB014E"/>
    <w:rsid w:val="00CB0D27"/>
    <w:rsid w:val="00CB5F10"/>
    <w:rsid w:val="00CB5FC9"/>
    <w:rsid w:val="00CC3C87"/>
    <w:rsid w:val="00CC54FC"/>
    <w:rsid w:val="00CC5613"/>
    <w:rsid w:val="00CC7DA4"/>
    <w:rsid w:val="00CD263E"/>
    <w:rsid w:val="00CD30BA"/>
    <w:rsid w:val="00CE1343"/>
    <w:rsid w:val="00CE19D0"/>
    <w:rsid w:val="00CE4BA3"/>
    <w:rsid w:val="00CE707E"/>
    <w:rsid w:val="00CF12D2"/>
    <w:rsid w:val="00CF2F7B"/>
    <w:rsid w:val="00CF31E7"/>
    <w:rsid w:val="00CF330C"/>
    <w:rsid w:val="00D01E38"/>
    <w:rsid w:val="00D020A1"/>
    <w:rsid w:val="00D02410"/>
    <w:rsid w:val="00D02DE2"/>
    <w:rsid w:val="00D03D15"/>
    <w:rsid w:val="00D04FB9"/>
    <w:rsid w:val="00D05D69"/>
    <w:rsid w:val="00D067D4"/>
    <w:rsid w:val="00D109F1"/>
    <w:rsid w:val="00D1193F"/>
    <w:rsid w:val="00D11F38"/>
    <w:rsid w:val="00D129EF"/>
    <w:rsid w:val="00D130FE"/>
    <w:rsid w:val="00D17594"/>
    <w:rsid w:val="00D217BE"/>
    <w:rsid w:val="00D252FB"/>
    <w:rsid w:val="00D35024"/>
    <w:rsid w:val="00D35800"/>
    <w:rsid w:val="00D35951"/>
    <w:rsid w:val="00D35FC2"/>
    <w:rsid w:val="00D42648"/>
    <w:rsid w:val="00D450E7"/>
    <w:rsid w:val="00D4658D"/>
    <w:rsid w:val="00D4710F"/>
    <w:rsid w:val="00D47753"/>
    <w:rsid w:val="00D5693B"/>
    <w:rsid w:val="00D62493"/>
    <w:rsid w:val="00D64F61"/>
    <w:rsid w:val="00D814A6"/>
    <w:rsid w:val="00D833B0"/>
    <w:rsid w:val="00D8443B"/>
    <w:rsid w:val="00D94551"/>
    <w:rsid w:val="00D95F25"/>
    <w:rsid w:val="00DB5E89"/>
    <w:rsid w:val="00DC1BEA"/>
    <w:rsid w:val="00DC3670"/>
    <w:rsid w:val="00DC3B34"/>
    <w:rsid w:val="00DC4865"/>
    <w:rsid w:val="00DC55A2"/>
    <w:rsid w:val="00DC5A61"/>
    <w:rsid w:val="00DD0D3E"/>
    <w:rsid w:val="00DD33AF"/>
    <w:rsid w:val="00DD3712"/>
    <w:rsid w:val="00DD3E32"/>
    <w:rsid w:val="00DD4997"/>
    <w:rsid w:val="00DD7AA0"/>
    <w:rsid w:val="00DE123B"/>
    <w:rsid w:val="00DE1599"/>
    <w:rsid w:val="00DE2294"/>
    <w:rsid w:val="00DE3514"/>
    <w:rsid w:val="00DE5041"/>
    <w:rsid w:val="00DE51CA"/>
    <w:rsid w:val="00DF2021"/>
    <w:rsid w:val="00DF35CC"/>
    <w:rsid w:val="00DF450B"/>
    <w:rsid w:val="00E10FA9"/>
    <w:rsid w:val="00E12C42"/>
    <w:rsid w:val="00E153AB"/>
    <w:rsid w:val="00E200B9"/>
    <w:rsid w:val="00E24D61"/>
    <w:rsid w:val="00E27D64"/>
    <w:rsid w:val="00E3182B"/>
    <w:rsid w:val="00E31DE8"/>
    <w:rsid w:val="00E333F8"/>
    <w:rsid w:val="00E356E1"/>
    <w:rsid w:val="00E432A6"/>
    <w:rsid w:val="00E4450C"/>
    <w:rsid w:val="00E4564D"/>
    <w:rsid w:val="00E50D02"/>
    <w:rsid w:val="00E51B87"/>
    <w:rsid w:val="00E54E86"/>
    <w:rsid w:val="00E56F5D"/>
    <w:rsid w:val="00E6471D"/>
    <w:rsid w:val="00E676B8"/>
    <w:rsid w:val="00E7079F"/>
    <w:rsid w:val="00E713DE"/>
    <w:rsid w:val="00E72ADF"/>
    <w:rsid w:val="00E74061"/>
    <w:rsid w:val="00E8044F"/>
    <w:rsid w:val="00E82C3B"/>
    <w:rsid w:val="00E83DF2"/>
    <w:rsid w:val="00E869BA"/>
    <w:rsid w:val="00E87D78"/>
    <w:rsid w:val="00E90B41"/>
    <w:rsid w:val="00EA313E"/>
    <w:rsid w:val="00EA3D9F"/>
    <w:rsid w:val="00EA7557"/>
    <w:rsid w:val="00EB4A21"/>
    <w:rsid w:val="00EB7FD2"/>
    <w:rsid w:val="00EC21F3"/>
    <w:rsid w:val="00EC33BF"/>
    <w:rsid w:val="00EC547F"/>
    <w:rsid w:val="00EC5DAB"/>
    <w:rsid w:val="00ED1579"/>
    <w:rsid w:val="00ED4D93"/>
    <w:rsid w:val="00ED56D5"/>
    <w:rsid w:val="00EE2C24"/>
    <w:rsid w:val="00EE6DB0"/>
    <w:rsid w:val="00EF69DA"/>
    <w:rsid w:val="00EF6DCD"/>
    <w:rsid w:val="00F01C7E"/>
    <w:rsid w:val="00F037B7"/>
    <w:rsid w:val="00F04B31"/>
    <w:rsid w:val="00F11A20"/>
    <w:rsid w:val="00F154D9"/>
    <w:rsid w:val="00F154E2"/>
    <w:rsid w:val="00F21CAD"/>
    <w:rsid w:val="00F2590D"/>
    <w:rsid w:val="00F40149"/>
    <w:rsid w:val="00F4130B"/>
    <w:rsid w:val="00F4176C"/>
    <w:rsid w:val="00F449BF"/>
    <w:rsid w:val="00F50ED4"/>
    <w:rsid w:val="00F64EBD"/>
    <w:rsid w:val="00F733D5"/>
    <w:rsid w:val="00F73C58"/>
    <w:rsid w:val="00F75950"/>
    <w:rsid w:val="00F80230"/>
    <w:rsid w:val="00F83101"/>
    <w:rsid w:val="00F8460A"/>
    <w:rsid w:val="00F9238D"/>
    <w:rsid w:val="00F93149"/>
    <w:rsid w:val="00F96DEE"/>
    <w:rsid w:val="00F971F7"/>
    <w:rsid w:val="00FA1B24"/>
    <w:rsid w:val="00FA205A"/>
    <w:rsid w:val="00FA2D5B"/>
    <w:rsid w:val="00FA473F"/>
    <w:rsid w:val="00FB2B20"/>
    <w:rsid w:val="00FB6838"/>
    <w:rsid w:val="00FB6D5A"/>
    <w:rsid w:val="00FB762A"/>
    <w:rsid w:val="00FC0E60"/>
    <w:rsid w:val="00FC260D"/>
    <w:rsid w:val="00FC6E18"/>
    <w:rsid w:val="00FC7C5A"/>
    <w:rsid w:val="00FD29CD"/>
    <w:rsid w:val="00FD36DF"/>
    <w:rsid w:val="00FE2DDB"/>
    <w:rsid w:val="00FE5005"/>
    <w:rsid w:val="00FE7F29"/>
    <w:rsid w:val="00FF75B1"/>
    <w:rsid w:val="00FF7AC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838D6"/>
  <w15:chartTrackingRefBased/>
  <w15:docId w15:val="{A19C4E19-E705-4206-9BC9-F30038C74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F0C"/>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47F"/>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Strong">
    <w:name w:val="Strong"/>
    <w:basedOn w:val="DefaultParagraphFont"/>
    <w:uiPriority w:val="22"/>
    <w:qFormat/>
    <w:rsid w:val="00EC547F"/>
    <w:rPr>
      <w:b/>
      <w:bCs/>
    </w:rPr>
  </w:style>
  <w:style w:type="table" w:styleId="TableGrid">
    <w:name w:val="Table Grid"/>
    <w:basedOn w:val="TableNormal"/>
    <w:uiPriority w:val="39"/>
    <w:rsid w:val="00E82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082F"/>
    <w:pPr>
      <w:ind w:left="720"/>
      <w:contextualSpacing/>
    </w:pPr>
  </w:style>
  <w:style w:type="character" w:styleId="Hyperlink">
    <w:name w:val="Hyperlink"/>
    <w:basedOn w:val="DefaultParagraphFont"/>
    <w:uiPriority w:val="99"/>
    <w:semiHidden/>
    <w:unhideWhenUsed/>
    <w:rsid w:val="00C0687B"/>
    <w:rPr>
      <w:color w:val="0000FF"/>
      <w:u w:val="single"/>
    </w:rPr>
  </w:style>
  <w:style w:type="character" w:styleId="Emphasis">
    <w:name w:val="Emphasis"/>
    <w:basedOn w:val="DefaultParagraphFont"/>
    <w:uiPriority w:val="20"/>
    <w:qFormat/>
    <w:rsid w:val="00C068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33763">
      <w:bodyDiv w:val="1"/>
      <w:marLeft w:val="0"/>
      <w:marRight w:val="0"/>
      <w:marTop w:val="0"/>
      <w:marBottom w:val="0"/>
      <w:divBdr>
        <w:top w:val="none" w:sz="0" w:space="0" w:color="auto"/>
        <w:left w:val="none" w:sz="0" w:space="0" w:color="auto"/>
        <w:bottom w:val="none" w:sz="0" w:space="0" w:color="auto"/>
        <w:right w:val="none" w:sz="0" w:space="0" w:color="auto"/>
      </w:divBdr>
    </w:div>
    <w:div w:id="110440778">
      <w:bodyDiv w:val="1"/>
      <w:marLeft w:val="0"/>
      <w:marRight w:val="0"/>
      <w:marTop w:val="0"/>
      <w:marBottom w:val="0"/>
      <w:divBdr>
        <w:top w:val="none" w:sz="0" w:space="0" w:color="auto"/>
        <w:left w:val="none" w:sz="0" w:space="0" w:color="auto"/>
        <w:bottom w:val="none" w:sz="0" w:space="0" w:color="auto"/>
        <w:right w:val="none" w:sz="0" w:space="0" w:color="auto"/>
      </w:divBdr>
      <w:divsChild>
        <w:div w:id="1218857052">
          <w:marLeft w:val="0"/>
          <w:marRight w:val="0"/>
          <w:marTop w:val="0"/>
          <w:marBottom w:val="0"/>
          <w:divBdr>
            <w:top w:val="none" w:sz="0" w:space="0" w:color="auto"/>
            <w:left w:val="none" w:sz="0" w:space="0" w:color="auto"/>
            <w:bottom w:val="none" w:sz="0" w:space="0" w:color="auto"/>
            <w:right w:val="none" w:sz="0" w:space="0" w:color="auto"/>
          </w:divBdr>
          <w:divsChild>
            <w:div w:id="1623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1940">
      <w:bodyDiv w:val="1"/>
      <w:marLeft w:val="0"/>
      <w:marRight w:val="0"/>
      <w:marTop w:val="0"/>
      <w:marBottom w:val="0"/>
      <w:divBdr>
        <w:top w:val="none" w:sz="0" w:space="0" w:color="auto"/>
        <w:left w:val="none" w:sz="0" w:space="0" w:color="auto"/>
        <w:bottom w:val="none" w:sz="0" w:space="0" w:color="auto"/>
        <w:right w:val="none" w:sz="0" w:space="0" w:color="auto"/>
      </w:divBdr>
    </w:div>
    <w:div w:id="378746363">
      <w:bodyDiv w:val="1"/>
      <w:marLeft w:val="0"/>
      <w:marRight w:val="0"/>
      <w:marTop w:val="0"/>
      <w:marBottom w:val="0"/>
      <w:divBdr>
        <w:top w:val="none" w:sz="0" w:space="0" w:color="auto"/>
        <w:left w:val="none" w:sz="0" w:space="0" w:color="auto"/>
        <w:bottom w:val="none" w:sz="0" w:space="0" w:color="auto"/>
        <w:right w:val="none" w:sz="0" w:space="0" w:color="auto"/>
      </w:divBdr>
    </w:div>
    <w:div w:id="537814691">
      <w:bodyDiv w:val="1"/>
      <w:marLeft w:val="0"/>
      <w:marRight w:val="0"/>
      <w:marTop w:val="0"/>
      <w:marBottom w:val="0"/>
      <w:divBdr>
        <w:top w:val="none" w:sz="0" w:space="0" w:color="auto"/>
        <w:left w:val="none" w:sz="0" w:space="0" w:color="auto"/>
        <w:bottom w:val="none" w:sz="0" w:space="0" w:color="auto"/>
        <w:right w:val="none" w:sz="0" w:space="0" w:color="auto"/>
      </w:divBdr>
    </w:div>
    <w:div w:id="559364748">
      <w:bodyDiv w:val="1"/>
      <w:marLeft w:val="0"/>
      <w:marRight w:val="0"/>
      <w:marTop w:val="0"/>
      <w:marBottom w:val="0"/>
      <w:divBdr>
        <w:top w:val="none" w:sz="0" w:space="0" w:color="auto"/>
        <w:left w:val="none" w:sz="0" w:space="0" w:color="auto"/>
        <w:bottom w:val="none" w:sz="0" w:space="0" w:color="auto"/>
        <w:right w:val="none" w:sz="0" w:space="0" w:color="auto"/>
      </w:divBdr>
    </w:div>
    <w:div w:id="569316689">
      <w:bodyDiv w:val="1"/>
      <w:marLeft w:val="0"/>
      <w:marRight w:val="0"/>
      <w:marTop w:val="0"/>
      <w:marBottom w:val="0"/>
      <w:divBdr>
        <w:top w:val="none" w:sz="0" w:space="0" w:color="auto"/>
        <w:left w:val="none" w:sz="0" w:space="0" w:color="auto"/>
        <w:bottom w:val="none" w:sz="0" w:space="0" w:color="auto"/>
        <w:right w:val="none" w:sz="0" w:space="0" w:color="auto"/>
      </w:divBdr>
    </w:div>
    <w:div w:id="577833505">
      <w:bodyDiv w:val="1"/>
      <w:marLeft w:val="0"/>
      <w:marRight w:val="0"/>
      <w:marTop w:val="0"/>
      <w:marBottom w:val="0"/>
      <w:divBdr>
        <w:top w:val="none" w:sz="0" w:space="0" w:color="auto"/>
        <w:left w:val="none" w:sz="0" w:space="0" w:color="auto"/>
        <w:bottom w:val="none" w:sz="0" w:space="0" w:color="auto"/>
        <w:right w:val="none" w:sz="0" w:space="0" w:color="auto"/>
      </w:divBdr>
    </w:div>
    <w:div w:id="606818066">
      <w:bodyDiv w:val="1"/>
      <w:marLeft w:val="0"/>
      <w:marRight w:val="0"/>
      <w:marTop w:val="0"/>
      <w:marBottom w:val="0"/>
      <w:divBdr>
        <w:top w:val="none" w:sz="0" w:space="0" w:color="auto"/>
        <w:left w:val="none" w:sz="0" w:space="0" w:color="auto"/>
        <w:bottom w:val="none" w:sz="0" w:space="0" w:color="auto"/>
        <w:right w:val="none" w:sz="0" w:space="0" w:color="auto"/>
      </w:divBdr>
    </w:div>
    <w:div w:id="654144916">
      <w:bodyDiv w:val="1"/>
      <w:marLeft w:val="0"/>
      <w:marRight w:val="0"/>
      <w:marTop w:val="0"/>
      <w:marBottom w:val="0"/>
      <w:divBdr>
        <w:top w:val="none" w:sz="0" w:space="0" w:color="auto"/>
        <w:left w:val="none" w:sz="0" w:space="0" w:color="auto"/>
        <w:bottom w:val="none" w:sz="0" w:space="0" w:color="auto"/>
        <w:right w:val="none" w:sz="0" w:space="0" w:color="auto"/>
      </w:divBdr>
    </w:div>
    <w:div w:id="655963702">
      <w:bodyDiv w:val="1"/>
      <w:marLeft w:val="0"/>
      <w:marRight w:val="0"/>
      <w:marTop w:val="0"/>
      <w:marBottom w:val="0"/>
      <w:divBdr>
        <w:top w:val="none" w:sz="0" w:space="0" w:color="auto"/>
        <w:left w:val="none" w:sz="0" w:space="0" w:color="auto"/>
        <w:bottom w:val="none" w:sz="0" w:space="0" w:color="auto"/>
        <w:right w:val="none" w:sz="0" w:space="0" w:color="auto"/>
      </w:divBdr>
    </w:div>
    <w:div w:id="726605776">
      <w:bodyDiv w:val="1"/>
      <w:marLeft w:val="0"/>
      <w:marRight w:val="0"/>
      <w:marTop w:val="0"/>
      <w:marBottom w:val="0"/>
      <w:divBdr>
        <w:top w:val="none" w:sz="0" w:space="0" w:color="auto"/>
        <w:left w:val="none" w:sz="0" w:space="0" w:color="auto"/>
        <w:bottom w:val="none" w:sz="0" w:space="0" w:color="auto"/>
        <w:right w:val="none" w:sz="0" w:space="0" w:color="auto"/>
      </w:divBdr>
    </w:div>
    <w:div w:id="754210138">
      <w:bodyDiv w:val="1"/>
      <w:marLeft w:val="0"/>
      <w:marRight w:val="0"/>
      <w:marTop w:val="0"/>
      <w:marBottom w:val="0"/>
      <w:divBdr>
        <w:top w:val="none" w:sz="0" w:space="0" w:color="auto"/>
        <w:left w:val="none" w:sz="0" w:space="0" w:color="auto"/>
        <w:bottom w:val="none" w:sz="0" w:space="0" w:color="auto"/>
        <w:right w:val="none" w:sz="0" w:space="0" w:color="auto"/>
      </w:divBdr>
    </w:div>
    <w:div w:id="902762631">
      <w:bodyDiv w:val="1"/>
      <w:marLeft w:val="0"/>
      <w:marRight w:val="0"/>
      <w:marTop w:val="0"/>
      <w:marBottom w:val="0"/>
      <w:divBdr>
        <w:top w:val="none" w:sz="0" w:space="0" w:color="auto"/>
        <w:left w:val="none" w:sz="0" w:space="0" w:color="auto"/>
        <w:bottom w:val="none" w:sz="0" w:space="0" w:color="auto"/>
        <w:right w:val="none" w:sz="0" w:space="0" w:color="auto"/>
      </w:divBdr>
    </w:div>
    <w:div w:id="943801429">
      <w:bodyDiv w:val="1"/>
      <w:marLeft w:val="0"/>
      <w:marRight w:val="0"/>
      <w:marTop w:val="0"/>
      <w:marBottom w:val="0"/>
      <w:divBdr>
        <w:top w:val="none" w:sz="0" w:space="0" w:color="auto"/>
        <w:left w:val="none" w:sz="0" w:space="0" w:color="auto"/>
        <w:bottom w:val="none" w:sz="0" w:space="0" w:color="auto"/>
        <w:right w:val="none" w:sz="0" w:space="0" w:color="auto"/>
      </w:divBdr>
    </w:div>
    <w:div w:id="1066683566">
      <w:bodyDiv w:val="1"/>
      <w:marLeft w:val="0"/>
      <w:marRight w:val="0"/>
      <w:marTop w:val="0"/>
      <w:marBottom w:val="0"/>
      <w:divBdr>
        <w:top w:val="none" w:sz="0" w:space="0" w:color="auto"/>
        <w:left w:val="none" w:sz="0" w:space="0" w:color="auto"/>
        <w:bottom w:val="none" w:sz="0" w:space="0" w:color="auto"/>
        <w:right w:val="none" w:sz="0" w:space="0" w:color="auto"/>
      </w:divBdr>
    </w:div>
    <w:div w:id="1180197455">
      <w:bodyDiv w:val="1"/>
      <w:marLeft w:val="0"/>
      <w:marRight w:val="0"/>
      <w:marTop w:val="0"/>
      <w:marBottom w:val="0"/>
      <w:divBdr>
        <w:top w:val="none" w:sz="0" w:space="0" w:color="auto"/>
        <w:left w:val="none" w:sz="0" w:space="0" w:color="auto"/>
        <w:bottom w:val="none" w:sz="0" w:space="0" w:color="auto"/>
        <w:right w:val="none" w:sz="0" w:space="0" w:color="auto"/>
      </w:divBdr>
    </w:div>
    <w:div w:id="1458141846">
      <w:bodyDiv w:val="1"/>
      <w:marLeft w:val="0"/>
      <w:marRight w:val="0"/>
      <w:marTop w:val="0"/>
      <w:marBottom w:val="0"/>
      <w:divBdr>
        <w:top w:val="none" w:sz="0" w:space="0" w:color="auto"/>
        <w:left w:val="none" w:sz="0" w:space="0" w:color="auto"/>
        <w:bottom w:val="none" w:sz="0" w:space="0" w:color="auto"/>
        <w:right w:val="none" w:sz="0" w:space="0" w:color="auto"/>
      </w:divBdr>
    </w:div>
    <w:div w:id="1668748595">
      <w:bodyDiv w:val="1"/>
      <w:marLeft w:val="0"/>
      <w:marRight w:val="0"/>
      <w:marTop w:val="0"/>
      <w:marBottom w:val="0"/>
      <w:divBdr>
        <w:top w:val="none" w:sz="0" w:space="0" w:color="auto"/>
        <w:left w:val="none" w:sz="0" w:space="0" w:color="auto"/>
        <w:bottom w:val="none" w:sz="0" w:space="0" w:color="auto"/>
        <w:right w:val="none" w:sz="0" w:space="0" w:color="auto"/>
      </w:divBdr>
    </w:div>
    <w:div w:id="1767269818">
      <w:bodyDiv w:val="1"/>
      <w:marLeft w:val="0"/>
      <w:marRight w:val="0"/>
      <w:marTop w:val="0"/>
      <w:marBottom w:val="0"/>
      <w:divBdr>
        <w:top w:val="none" w:sz="0" w:space="0" w:color="auto"/>
        <w:left w:val="none" w:sz="0" w:space="0" w:color="auto"/>
        <w:bottom w:val="none" w:sz="0" w:space="0" w:color="auto"/>
        <w:right w:val="none" w:sz="0" w:space="0" w:color="auto"/>
      </w:divBdr>
    </w:div>
    <w:div w:id="1805269058">
      <w:bodyDiv w:val="1"/>
      <w:marLeft w:val="0"/>
      <w:marRight w:val="0"/>
      <w:marTop w:val="0"/>
      <w:marBottom w:val="0"/>
      <w:divBdr>
        <w:top w:val="none" w:sz="0" w:space="0" w:color="auto"/>
        <w:left w:val="none" w:sz="0" w:space="0" w:color="auto"/>
        <w:bottom w:val="none" w:sz="0" w:space="0" w:color="auto"/>
        <w:right w:val="none" w:sz="0" w:space="0" w:color="auto"/>
      </w:divBdr>
    </w:div>
    <w:div w:id="195324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hyperlink" Target="https://ideas.repec.org/a/eee/jimfin/v30y2011i3p547-571.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s://ideas.repec.org/a/eee/jbfina/v128y2021ics0378426621001229.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deas.repec.org/a/eme/cfripp/cfri-06-2016-0051.html"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doi.org/10.3386/w10449" TargetMode="External"/><Relationship Id="rId5" Type="http://schemas.openxmlformats.org/officeDocument/2006/relationships/chart" Target="charts/chart1.xml"/><Relationship Id="rId15" Type="http://schemas.openxmlformats.org/officeDocument/2006/relationships/hyperlink" Target="https://ideas.repec.org/a/eee/jebusi/v118y2022ics0148619521000394.html" TargetMode="Externa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hyperlink" Target="https://eprints.gla.ac.uk/209237/"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5611c778778c8db/Portfolio%20Management/Assignment/solu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c5611c778778c8db/Portfolio%20Management/Assignment/solu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4761003\Documents\solu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4761003\Documents\solu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c5611c778778c8db/Portfolio%20Management/Assignment/solut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c5611c778778c8db/Portfolio%20Management/Assignment/soluti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Alpha</a:t>
            </a:r>
            <a:r>
              <a:rPr lang="en-AU" baseline="0"/>
              <a:t> (</a:t>
            </a:r>
            <a:r>
              <a:rPr lang="en-US" sz="1400" b="0" i="0" u="none" strike="noStrike" baseline="0">
                <a:effectLst/>
              </a:rPr>
              <a:t>α</a:t>
            </a:r>
            <a:r>
              <a:rPr lang="en-AU" baseline="0"/>
              <a: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'[solution.xlsx]Q1'!$A$6547</c:f>
              <c:strCache>
                <c:ptCount val="1"/>
                <c:pt idx="0">
                  <c:v>alpha</c:v>
                </c:pt>
              </c:strCache>
            </c:strRef>
          </c:tx>
          <c:spPr>
            <a:ln w="28575" cap="rnd">
              <a:solidFill>
                <a:schemeClr val="accent2"/>
              </a:solidFill>
              <a:round/>
            </a:ln>
            <a:effectLst/>
          </c:spPr>
          <c:marker>
            <c:symbol val="none"/>
          </c:marker>
          <c:cat>
            <c:strRef>
              <c:f>'[solution.xlsx]Q1'!$B$6545:$Z$6545</c:f>
              <c:strCache>
                <c:ptCount val="25"/>
                <c:pt idx="0">
                  <c:v>SMALL LoBM</c:v>
                </c:pt>
                <c:pt idx="1">
                  <c:v>ME1 BM2</c:v>
                </c:pt>
                <c:pt idx="2">
                  <c:v>ME1 BM3</c:v>
                </c:pt>
                <c:pt idx="3">
                  <c:v>ME1 BM4</c:v>
                </c:pt>
                <c:pt idx="4">
                  <c:v>SMALL HiBM</c:v>
                </c:pt>
                <c:pt idx="5">
                  <c:v>ME2 BM1</c:v>
                </c:pt>
                <c:pt idx="6">
                  <c:v>ME2 BM2</c:v>
                </c:pt>
                <c:pt idx="7">
                  <c:v>ME2 BM3</c:v>
                </c:pt>
                <c:pt idx="8">
                  <c:v>ME2 BM4</c:v>
                </c:pt>
                <c:pt idx="9">
                  <c:v>ME2 BM5</c:v>
                </c:pt>
                <c:pt idx="10">
                  <c:v>ME3 BM1</c:v>
                </c:pt>
                <c:pt idx="11">
                  <c:v>ME3 BM2</c:v>
                </c:pt>
                <c:pt idx="12">
                  <c:v>ME3 BM3</c:v>
                </c:pt>
                <c:pt idx="13">
                  <c:v>ME3 BM4</c:v>
                </c:pt>
                <c:pt idx="14">
                  <c:v>ME3 BM5</c:v>
                </c:pt>
                <c:pt idx="15">
                  <c:v>ME4 BM1</c:v>
                </c:pt>
                <c:pt idx="16">
                  <c:v>ME4 BM2</c:v>
                </c:pt>
                <c:pt idx="17">
                  <c:v>ME4 BM3</c:v>
                </c:pt>
                <c:pt idx="18">
                  <c:v>ME4 BM4</c:v>
                </c:pt>
                <c:pt idx="19">
                  <c:v>ME4 BM5</c:v>
                </c:pt>
                <c:pt idx="20">
                  <c:v>BIG LoBM</c:v>
                </c:pt>
                <c:pt idx="21">
                  <c:v>ME5 BM2</c:v>
                </c:pt>
                <c:pt idx="22">
                  <c:v>ME5 BM3</c:v>
                </c:pt>
                <c:pt idx="23">
                  <c:v>ME5 BM4</c:v>
                </c:pt>
                <c:pt idx="24">
                  <c:v>BIG HiBM</c:v>
                </c:pt>
              </c:strCache>
            </c:strRef>
          </c:cat>
          <c:val>
            <c:numRef>
              <c:f>'[solution.xlsx]Q1'!$B$6547:$Z$6547</c:f>
              <c:numCache>
                <c:formatCode>General</c:formatCode>
                <c:ptCount val="25"/>
                <c:pt idx="0">
                  <c:v>-2.3800688811275526E-2</c:v>
                </c:pt>
                <c:pt idx="1">
                  <c:v>4.5537713201470806E-3</c:v>
                </c:pt>
                <c:pt idx="2">
                  <c:v>4.0190625924349174E-3</c:v>
                </c:pt>
                <c:pt idx="3">
                  <c:v>1.5295176534542002E-2</c:v>
                </c:pt>
                <c:pt idx="4">
                  <c:v>2.019471003356401E-2</c:v>
                </c:pt>
                <c:pt idx="5">
                  <c:v>-5.5064825992521271E-3</c:v>
                </c:pt>
                <c:pt idx="6">
                  <c:v>1.0045114472467725E-2</c:v>
                </c:pt>
                <c:pt idx="7">
                  <c:v>7.4355715044910203E-3</c:v>
                </c:pt>
                <c:pt idx="8">
                  <c:v>5.6079166570626657E-3</c:v>
                </c:pt>
                <c:pt idx="9">
                  <c:v>6.1085961150229295E-3</c:v>
                </c:pt>
                <c:pt idx="10">
                  <c:v>-5.159481712809319E-3</c:v>
                </c:pt>
                <c:pt idx="11">
                  <c:v>1.059237143038981E-2</c:v>
                </c:pt>
                <c:pt idx="12">
                  <c:v>4.5588949266549827E-3</c:v>
                </c:pt>
                <c:pt idx="13">
                  <c:v>6.7031743646106534E-3</c:v>
                </c:pt>
                <c:pt idx="14">
                  <c:v>1.1301260085904576E-2</c:v>
                </c:pt>
                <c:pt idx="15">
                  <c:v>7.1507047469006046E-3</c:v>
                </c:pt>
                <c:pt idx="16">
                  <c:v>9.7282562408481238E-3</c:v>
                </c:pt>
                <c:pt idx="17">
                  <c:v>4.9948814000456213E-3</c:v>
                </c:pt>
                <c:pt idx="18">
                  <c:v>7.1028274830753566E-3</c:v>
                </c:pt>
                <c:pt idx="19">
                  <c:v>1.9095295774778781E-3</c:v>
                </c:pt>
                <c:pt idx="20">
                  <c:v>6.6741878429308343E-3</c:v>
                </c:pt>
                <c:pt idx="21">
                  <c:v>3.5894557200021361E-3</c:v>
                </c:pt>
                <c:pt idx="22">
                  <c:v>3.8779102718212201E-3</c:v>
                </c:pt>
                <c:pt idx="23">
                  <c:v>-1.2145111923171772E-2</c:v>
                </c:pt>
                <c:pt idx="24">
                  <c:v>-4.0205852845953335E-3</c:v>
                </c:pt>
              </c:numCache>
            </c:numRef>
          </c:val>
          <c:smooth val="0"/>
          <c:extLst>
            <c:ext xmlns:c16="http://schemas.microsoft.com/office/drawing/2014/chart" uri="{C3380CC4-5D6E-409C-BE32-E72D297353CC}">
              <c16:uniqueId val="{00000000-C228-4003-BBB4-E6D216945A66}"/>
            </c:ext>
          </c:extLst>
        </c:ser>
        <c:dLbls>
          <c:showLegendKey val="0"/>
          <c:showVal val="0"/>
          <c:showCatName val="0"/>
          <c:showSerName val="0"/>
          <c:showPercent val="0"/>
          <c:showBubbleSize val="0"/>
        </c:dLbls>
        <c:smooth val="0"/>
        <c:axId val="1194511791"/>
        <c:axId val="1194494319"/>
      </c:lineChart>
      <c:catAx>
        <c:axId val="1194511791"/>
        <c:scaling>
          <c:orientation val="minMax"/>
        </c:scaling>
        <c:delete val="0"/>
        <c:axPos val="t"/>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494319"/>
        <c:crosses val="max"/>
        <c:auto val="1"/>
        <c:lblAlgn val="ctr"/>
        <c:lblOffset val="100"/>
        <c:noMultiLvlLbl val="0"/>
      </c:catAx>
      <c:valAx>
        <c:axId val="1194494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511791"/>
        <c:crossesAt val="0"/>
        <c:crossBetween val="midCat"/>
      </c:valAx>
      <c:spPr>
        <a:noFill/>
        <a:ln>
          <a:noFill/>
        </a:ln>
        <a:effectLst>
          <a:glow rad="127000">
            <a:schemeClr val="tx1">
              <a:lumMod val="50000"/>
              <a:lumOff val="50000"/>
            </a:schemeClr>
          </a:glow>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Beta vs alpha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trendline>
            <c:spPr>
              <a:ln w="25400" cap="rnd">
                <a:solidFill>
                  <a:schemeClr val="accent1">
                    <a:alpha val="50000"/>
                  </a:schemeClr>
                </a:solidFill>
              </a:ln>
              <a:effectLst/>
            </c:spPr>
            <c:trendlineType val="linear"/>
            <c:dispRSqr val="0"/>
            <c:dispEq val="0"/>
          </c:trendline>
          <c:xVal>
            <c:numRef>
              <c:f>'[solution.xlsx]Q1'!$B$6547:$Z$6547</c:f>
              <c:numCache>
                <c:formatCode>General</c:formatCode>
                <c:ptCount val="25"/>
                <c:pt idx="0">
                  <c:v>-2.3800688811275526E-2</c:v>
                </c:pt>
                <c:pt idx="1">
                  <c:v>4.5537713201470806E-3</c:v>
                </c:pt>
                <c:pt idx="2">
                  <c:v>4.0190625924349174E-3</c:v>
                </c:pt>
                <c:pt idx="3">
                  <c:v>1.5295176534542002E-2</c:v>
                </c:pt>
                <c:pt idx="4">
                  <c:v>2.019471003356401E-2</c:v>
                </c:pt>
                <c:pt idx="5">
                  <c:v>-5.5064825992521271E-3</c:v>
                </c:pt>
                <c:pt idx="6">
                  <c:v>1.0045114472467725E-2</c:v>
                </c:pt>
                <c:pt idx="7">
                  <c:v>7.4355715044910203E-3</c:v>
                </c:pt>
                <c:pt idx="8">
                  <c:v>5.6079166570626657E-3</c:v>
                </c:pt>
                <c:pt idx="9">
                  <c:v>6.1085961150229295E-3</c:v>
                </c:pt>
                <c:pt idx="10">
                  <c:v>-5.159481712809319E-3</c:v>
                </c:pt>
                <c:pt idx="11">
                  <c:v>1.059237143038981E-2</c:v>
                </c:pt>
                <c:pt idx="12">
                  <c:v>4.5588949266549827E-3</c:v>
                </c:pt>
                <c:pt idx="13">
                  <c:v>6.7031743646106534E-3</c:v>
                </c:pt>
                <c:pt idx="14">
                  <c:v>1.1301260085904576E-2</c:v>
                </c:pt>
                <c:pt idx="15">
                  <c:v>7.1507047469006046E-3</c:v>
                </c:pt>
                <c:pt idx="16">
                  <c:v>9.7282562408481238E-3</c:v>
                </c:pt>
                <c:pt idx="17">
                  <c:v>4.9948814000456213E-3</c:v>
                </c:pt>
                <c:pt idx="18">
                  <c:v>7.1028274830753566E-3</c:v>
                </c:pt>
                <c:pt idx="19">
                  <c:v>1.9095295774778781E-3</c:v>
                </c:pt>
                <c:pt idx="20">
                  <c:v>6.6741878429308343E-3</c:v>
                </c:pt>
                <c:pt idx="21">
                  <c:v>3.5894557200021361E-3</c:v>
                </c:pt>
                <c:pt idx="22">
                  <c:v>3.8779102718212201E-3</c:v>
                </c:pt>
                <c:pt idx="23">
                  <c:v>-1.2145111923171772E-2</c:v>
                </c:pt>
                <c:pt idx="24">
                  <c:v>-4.0205852845953335E-3</c:v>
                </c:pt>
              </c:numCache>
            </c:numRef>
          </c:xVal>
          <c:yVal>
            <c:numRef>
              <c:f>'[solution.xlsx]Q1'!$B$6546:$Z$6546</c:f>
              <c:numCache>
                <c:formatCode>General</c:formatCode>
                <c:ptCount val="25"/>
                <c:pt idx="0">
                  <c:v>1.0940576848156152</c:v>
                </c:pt>
                <c:pt idx="1">
                  <c:v>1.0347301062148047</c:v>
                </c:pt>
                <c:pt idx="2">
                  <c:v>0.94813643273685044</c:v>
                </c:pt>
                <c:pt idx="3">
                  <c:v>0.93270580936753655</c:v>
                </c:pt>
                <c:pt idx="4">
                  <c:v>0.86522863139634465</c:v>
                </c:pt>
                <c:pt idx="5">
                  <c:v>1.1747316080016246</c:v>
                </c:pt>
                <c:pt idx="6">
                  <c:v>1.086965443139368</c:v>
                </c:pt>
                <c:pt idx="7">
                  <c:v>1.0382876715922904</c:v>
                </c:pt>
                <c:pt idx="8">
                  <c:v>1.0329274916747893</c:v>
                </c:pt>
                <c:pt idx="9">
                  <c:v>1.1172868105566263</c:v>
                </c:pt>
                <c:pt idx="10">
                  <c:v>1.1730948185682832</c:v>
                </c:pt>
                <c:pt idx="11">
                  <c:v>1.0391365117883666</c:v>
                </c:pt>
                <c:pt idx="12">
                  <c:v>1.0051821420168892</c:v>
                </c:pt>
                <c:pt idx="13">
                  <c:v>1.0138603289234884</c:v>
                </c:pt>
                <c:pt idx="14">
                  <c:v>1.0987759525347356</c:v>
                </c:pt>
                <c:pt idx="15">
                  <c:v>1.1058372268007759</c:v>
                </c:pt>
                <c:pt idx="16">
                  <c:v>0.97493553577297587</c:v>
                </c:pt>
                <c:pt idx="17">
                  <c:v>0.97896513671690311</c:v>
                </c:pt>
                <c:pt idx="18">
                  <c:v>0.97335800736276945</c:v>
                </c:pt>
                <c:pt idx="19">
                  <c:v>1.0948039829349743</c:v>
                </c:pt>
                <c:pt idx="20">
                  <c:v>0.97744717236574563</c:v>
                </c:pt>
                <c:pt idx="21">
                  <c:v>0.91378466857989171</c:v>
                </c:pt>
                <c:pt idx="22">
                  <c:v>0.92629563772179713</c:v>
                </c:pt>
                <c:pt idx="23">
                  <c:v>1.0089304866825759</c:v>
                </c:pt>
                <c:pt idx="24">
                  <c:v>1.1688381539127481</c:v>
                </c:pt>
              </c:numCache>
            </c:numRef>
          </c:yVal>
          <c:smooth val="0"/>
          <c:extLst>
            <c:ext xmlns:c16="http://schemas.microsoft.com/office/drawing/2014/chart" uri="{C3380CC4-5D6E-409C-BE32-E72D297353CC}">
              <c16:uniqueId val="{00000002-5F10-4CB8-96F2-7839BAB6A391}"/>
            </c:ext>
          </c:extLst>
        </c:ser>
        <c:dLbls>
          <c:showLegendKey val="0"/>
          <c:showVal val="0"/>
          <c:showCatName val="0"/>
          <c:showSerName val="0"/>
          <c:showPercent val="0"/>
          <c:showBubbleSize val="0"/>
        </c:dLbls>
        <c:axId val="1362644384"/>
        <c:axId val="1362655904"/>
      </c:scatterChart>
      <c:valAx>
        <c:axId val="136264438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ALPHA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62655904"/>
        <c:crosses val="autoZero"/>
        <c:crossBetween val="midCat"/>
      </c:valAx>
      <c:valAx>
        <c:axId val="136265590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BETA</a:t>
                </a:r>
              </a:p>
            </c:rich>
          </c:tx>
          <c:layout>
            <c:manualLayout>
              <c:xMode val="edge"/>
              <c:yMode val="edge"/>
              <c:x val="2.2222222222222223E-2"/>
              <c:y val="0.43393919510061241"/>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62644384"/>
        <c:crossesAt val="-3.0000000000000006E-2"/>
        <c:crossBetween val="midCat"/>
      </c:valAx>
      <c:spPr>
        <a:noFill/>
        <a:ln>
          <a:solidFill>
            <a:schemeClr val="accent1">
              <a:alpha val="89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kern="1200" spc="100" baseline="0">
                <a:solidFill>
                  <a:sysClr val="window" lastClr="FFFFFF">
                    <a:lumMod val="95000"/>
                  </a:sysClr>
                </a:solidFill>
                <a:effectLst>
                  <a:outerShdw blurRad="50800" dist="38100" dir="5400000" algn="t" rotWithShape="0">
                    <a:prstClr val="black">
                      <a:alpha val="40000"/>
                    </a:prstClr>
                  </a:outerShdw>
                </a:effectLst>
              </a:rPr>
              <a:t>ALPHA - FOMC vs NON FOMC PERIOD</a:t>
            </a:r>
          </a:p>
        </c:rich>
      </c:tx>
      <c:overlay val="0"/>
      <c:spPr>
        <a:solidFill>
          <a:schemeClr val="tx1"/>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'[solution.xlsx]PART B'!$A$6547</c:f>
              <c:strCache>
                <c:ptCount val="1"/>
                <c:pt idx="0">
                  <c:v>alpha FOMC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'[solution.xlsx]PART B'!$B$6545:$Z$6545</c:f>
              <c:strCache>
                <c:ptCount val="25"/>
                <c:pt idx="0">
                  <c:v>SMALL LoBM</c:v>
                </c:pt>
                <c:pt idx="1">
                  <c:v>ME1 BM2</c:v>
                </c:pt>
                <c:pt idx="2">
                  <c:v>ME1 BM3</c:v>
                </c:pt>
                <c:pt idx="3">
                  <c:v>ME1 BM4</c:v>
                </c:pt>
                <c:pt idx="4">
                  <c:v>SMALL HiBM</c:v>
                </c:pt>
                <c:pt idx="5">
                  <c:v>ME2 BM1</c:v>
                </c:pt>
                <c:pt idx="6">
                  <c:v>ME2 BM2</c:v>
                </c:pt>
                <c:pt idx="7">
                  <c:v>ME2 BM3</c:v>
                </c:pt>
                <c:pt idx="8">
                  <c:v>ME2 BM4</c:v>
                </c:pt>
                <c:pt idx="9">
                  <c:v>ME2 BM5</c:v>
                </c:pt>
                <c:pt idx="10">
                  <c:v>ME3 BM1</c:v>
                </c:pt>
                <c:pt idx="11">
                  <c:v>ME3 BM2</c:v>
                </c:pt>
                <c:pt idx="12">
                  <c:v>ME3 BM3</c:v>
                </c:pt>
                <c:pt idx="13">
                  <c:v>ME3 BM4</c:v>
                </c:pt>
                <c:pt idx="14">
                  <c:v>ME3 BM5</c:v>
                </c:pt>
                <c:pt idx="15">
                  <c:v>ME4 BM1</c:v>
                </c:pt>
                <c:pt idx="16">
                  <c:v>ME4 BM2</c:v>
                </c:pt>
                <c:pt idx="17">
                  <c:v>ME4 BM3</c:v>
                </c:pt>
                <c:pt idx="18">
                  <c:v>ME4 BM4</c:v>
                </c:pt>
                <c:pt idx="19">
                  <c:v>ME4 BM5</c:v>
                </c:pt>
                <c:pt idx="20">
                  <c:v>BIG LoBM</c:v>
                </c:pt>
                <c:pt idx="21">
                  <c:v>ME5 BM2</c:v>
                </c:pt>
                <c:pt idx="22">
                  <c:v>ME5 BM3</c:v>
                </c:pt>
                <c:pt idx="23">
                  <c:v>ME5 BM4</c:v>
                </c:pt>
                <c:pt idx="24">
                  <c:v>BIG HiBM</c:v>
                </c:pt>
              </c:strCache>
            </c:strRef>
          </c:cat>
          <c:val>
            <c:numRef>
              <c:f>'[solution.xlsx]PART B'!$B$6547:$Z$6547</c:f>
              <c:numCache>
                <c:formatCode>General</c:formatCode>
                <c:ptCount val="25"/>
                <c:pt idx="0">
                  <c:v>4.8501938284842838E-2</c:v>
                </c:pt>
                <c:pt idx="1">
                  <c:v>3.7017002482217287E-2</c:v>
                </c:pt>
                <c:pt idx="2">
                  <c:v>1.8732214482816978E-2</c:v>
                </c:pt>
                <c:pt idx="3">
                  <c:v>-9.436044809112476E-3</c:v>
                </c:pt>
                <c:pt idx="4">
                  <c:v>0.12057825918709714</c:v>
                </c:pt>
                <c:pt idx="5">
                  <c:v>3.755810480316113E-2</c:v>
                </c:pt>
                <c:pt idx="6">
                  <c:v>2.5536185623831642E-2</c:v>
                </c:pt>
                <c:pt idx="7">
                  <c:v>5.0301962612991469E-2</c:v>
                </c:pt>
                <c:pt idx="8">
                  <c:v>3.4481519211130907E-2</c:v>
                </c:pt>
                <c:pt idx="9">
                  <c:v>-1.3505013394851662E-3</c:v>
                </c:pt>
                <c:pt idx="10">
                  <c:v>7.4419292952222049E-2</c:v>
                </c:pt>
                <c:pt idx="11">
                  <c:v>5.1302717884157967E-2</c:v>
                </c:pt>
                <c:pt idx="12">
                  <c:v>4.443079963920904E-3</c:v>
                </c:pt>
                <c:pt idx="13">
                  <c:v>-2.5846071977402851E-3</c:v>
                </c:pt>
                <c:pt idx="14">
                  <c:v>2.6125084794819675E-3</c:v>
                </c:pt>
                <c:pt idx="15">
                  <c:v>5.216452711539793E-2</c:v>
                </c:pt>
                <c:pt idx="16">
                  <c:v>3.6757545086447685E-3</c:v>
                </c:pt>
                <c:pt idx="17">
                  <c:v>-4.0251948240183633E-3</c:v>
                </c:pt>
                <c:pt idx="18">
                  <c:v>2.3699783276709407E-5</c:v>
                </c:pt>
                <c:pt idx="19">
                  <c:v>-5.14362392975653E-2</c:v>
                </c:pt>
                <c:pt idx="20">
                  <c:v>1.2425419838465956E-2</c:v>
                </c:pt>
                <c:pt idx="21">
                  <c:v>-1.1604945135763989E-2</c:v>
                </c:pt>
                <c:pt idx="22">
                  <c:v>-3.294333493322632E-2</c:v>
                </c:pt>
                <c:pt idx="23">
                  <c:v>-5.7747557308840708E-2</c:v>
                </c:pt>
                <c:pt idx="24">
                  <c:v>-5.0170370340672954E-2</c:v>
                </c:pt>
              </c:numCache>
            </c:numRef>
          </c:val>
          <c:smooth val="0"/>
          <c:extLst>
            <c:ext xmlns:c16="http://schemas.microsoft.com/office/drawing/2014/chart" uri="{C3380CC4-5D6E-409C-BE32-E72D297353CC}">
              <c16:uniqueId val="{00000000-67D7-4DB6-86E2-34BC6E0D97E6}"/>
            </c:ext>
          </c:extLst>
        </c:ser>
        <c:ser>
          <c:idx val="3"/>
          <c:order val="1"/>
          <c:tx>
            <c:strRef>
              <c:f>'[solution.xlsx]PART B'!$A$6553</c:f>
              <c:strCache>
                <c:ptCount val="1"/>
                <c:pt idx="0">
                  <c:v>alpha NON FOMC</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'[solution.xlsx]PART B'!$B$6545:$Z$6545</c:f>
              <c:strCache>
                <c:ptCount val="25"/>
                <c:pt idx="0">
                  <c:v>SMALL LoBM</c:v>
                </c:pt>
                <c:pt idx="1">
                  <c:v>ME1 BM2</c:v>
                </c:pt>
                <c:pt idx="2">
                  <c:v>ME1 BM3</c:v>
                </c:pt>
                <c:pt idx="3">
                  <c:v>ME1 BM4</c:v>
                </c:pt>
                <c:pt idx="4">
                  <c:v>SMALL HiBM</c:v>
                </c:pt>
                <c:pt idx="5">
                  <c:v>ME2 BM1</c:v>
                </c:pt>
                <c:pt idx="6">
                  <c:v>ME2 BM2</c:v>
                </c:pt>
                <c:pt idx="7">
                  <c:v>ME2 BM3</c:v>
                </c:pt>
                <c:pt idx="8">
                  <c:v>ME2 BM4</c:v>
                </c:pt>
                <c:pt idx="9">
                  <c:v>ME2 BM5</c:v>
                </c:pt>
                <c:pt idx="10">
                  <c:v>ME3 BM1</c:v>
                </c:pt>
                <c:pt idx="11">
                  <c:v>ME3 BM2</c:v>
                </c:pt>
                <c:pt idx="12">
                  <c:v>ME3 BM3</c:v>
                </c:pt>
                <c:pt idx="13">
                  <c:v>ME3 BM4</c:v>
                </c:pt>
                <c:pt idx="14">
                  <c:v>ME3 BM5</c:v>
                </c:pt>
                <c:pt idx="15">
                  <c:v>ME4 BM1</c:v>
                </c:pt>
                <c:pt idx="16">
                  <c:v>ME4 BM2</c:v>
                </c:pt>
                <c:pt idx="17">
                  <c:v>ME4 BM3</c:v>
                </c:pt>
                <c:pt idx="18">
                  <c:v>ME4 BM4</c:v>
                </c:pt>
                <c:pt idx="19">
                  <c:v>ME4 BM5</c:v>
                </c:pt>
                <c:pt idx="20">
                  <c:v>BIG LoBM</c:v>
                </c:pt>
                <c:pt idx="21">
                  <c:v>ME5 BM2</c:v>
                </c:pt>
                <c:pt idx="22">
                  <c:v>ME5 BM3</c:v>
                </c:pt>
                <c:pt idx="23">
                  <c:v>ME5 BM4</c:v>
                </c:pt>
                <c:pt idx="24">
                  <c:v>BIG HiBM</c:v>
                </c:pt>
              </c:strCache>
            </c:strRef>
          </c:cat>
          <c:val>
            <c:numRef>
              <c:f>'[solution.xlsx]PART B'!$B$6553:$Z$6553</c:f>
              <c:numCache>
                <c:formatCode>General</c:formatCode>
                <c:ptCount val="25"/>
                <c:pt idx="0">
                  <c:v>-2.6111299728122522E-2</c:v>
                </c:pt>
                <c:pt idx="1">
                  <c:v>3.8588929861029519E-3</c:v>
                </c:pt>
                <c:pt idx="2">
                  <c:v>3.4304807393444291E-3</c:v>
                </c:pt>
                <c:pt idx="3">
                  <c:v>1.6155178776642899E-2</c:v>
                </c:pt>
                <c:pt idx="4">
                  <c:v>1.7936948957474684E-2</c:v>
                </c:pt>
                <c:pt idx="5">
                  <c:v>-7.2304764657726769E-3</c:v>
                </c:pt>
                <c:pt idx="6">
                  <c:v>9.7886586897463976E-3</c:v>
                </c:pt>
                <c:pt idx="7">
                  <c:v>5.9243699943116873E-3</c:v>
                </c:pt>
                <c:pt idx="8">
                  <c:v>4.4193647793487785E-3</c:v>
                </c:pt>
                <c:pt idx="9">
                  <c:v>6.5338519475682567E-3</c:v>
                </c:pt>
                <c:pt idx="10">
                  <c:v>-7.5302955290926475E-3</c:v>
                </c:pt>
                <c:pt idx="11">
                  <c:v>9.4966896800362487E-3</c:v>
                </c:pt>
                <c:pt idx="12">
                  <c:v>4.6975941273932724E-3</c:v>
                </c:pt>
                <c:pt idx="13">
                  <c:v>7.0321929183198469E-3</c:v>
                </c:pt>
                <c:pt idx="14">
                  <c:v>1.1299882377190582E-2</c:v>
                </c:pt>
                <c:pt idx="15">
                  <c:v>5.4395109757081721E-3</c:v>
                </c:pt>
                <c:pt idx="16">
                  <c:v>9.8047770572581086E-3</c:v>
                </c:pt>
                <c:pt idx="17">
                  <c:v>6.0154389125499953E-3</c:v>
                </c:pt>
                <c:pt idx="18">
                  <c:v>7.8316711438793304E-3</c:v>
                </c:pt>
                <c:pt idx="19">
                  <c:v>3.7336393200165449E-3</c:v>
                </c:pt>
                <c:pt idx="20">
                  <c:v>6.4672724610734776E-3</c:v>
                </c:pt>
                <c:pt idx="21">
                  <c:v>4.5560686306046587E-3</c:v>
                </c:pt>
                <c:pt idx="22">
                  <c:v>5.0129924282617637E-3</c:v>
                </c:pt>
                <c:pt idx="23">
                  <c:v>-1.0228951509727939E-2</c:v>
                </c:pt>
                <c:pt idx="24">
                  <c:v>-2.1391632698953902E-3</c:v>
                </c:pt>
              </c:numCache>
            </c:numRef>
          </c:val>
          <c:smooth val="0"/>
          <c:extLst>
            <c:ext xmlns:c16="http://schemas.microsoft.com/office/drawing/2014/chart" uri="{C3380CC4-5D6E-409C-BE32-E72D297353CC}">
              <c16:uniqueId val="{00000001-67D7-4DB6-86E2-34BC6E0D97E6}"/>
            </c:ext>
          </c:extLst>
        </c:ser>
        <c:dLbls>
          <c:showLegendKey val="0"/>
          <c:showVal val="0"/>
          <c:showCatName val="0"/>
          <c:showSerName val="0"/>
          <c:showPercent val="0"/>
          <c:showBubbleSize val="0"/>
        </c:dLbls>
        <c:marker val="1"/>
        <c:smooth val="0"/>
        <c:axId val="2130424639"/>
        <c:axId val="2130425599"/>
        <c:extLst/>
      </c:lineChart>
      <c:catAx>
        <c:axId val="2130424639"/>
        <c:scaling>
          <c:orientation val="minMax"/>
        </c:scaling>
        <c:delete val="0"/>
        <c:axPos val="b"/>
        <c:numFmt formatCode="General" sourceLinked="1"/>
        <c:majorTickMark val="none"/>
        <c:minorTickMark val="none"/>
        <c:tickLblPos val="high"/>
        <c:spPr>
          <a:noFill/>
          <a:ln w="22225" cap="flat" cmpd="sng" algn="ctr">
            <a:solidFill>
              <a:srgbClr val="FF0000"/>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425599"/>
        <c:crosses val="autoZero"/>
        <c:auto val="1"/>
        <c:lblAlgn val="ctr"/>
        <c:lblOffset val="100"/>
        <c:noMultiLvlLbl val="0"/>
      </c:catAx>
      <c:valAx>
        <c:axId val="2130425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ALPHA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4246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Beta</a:t>
            </a:r>
            <a:r>
              <a:rPr lang="en-IN" baseline="0"/>
              <a:t> </a:t>
            </a:r>
            <a:r>
              <a:rPr lang="en-IN"/>
              <a:t>FOMC vs NON FOMC</a:t>
            </a:r>
          </a:p>
        </c:rich>
      </c:tx>
      <c:layout>
        <c:manualLayout>
          <c:xMode val="edge"/>
          <c:yMode val="edge"/>
          <c:x val="0.1023937512618615"/>
          <c:y val="2.4880779597760729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5612823036543508"/>
          <c:y val="0.35004546782885809"/>
          <c:w val="0.77932818915164814"/>
          <c:h val="0.61301640894444764"/>
        </c:manualLayout>
      </c:layout>
      <c:barChart>
        <c:barDir val="col"/>
        <c:grouping val="clustered"/>
        <c:varyColors val="0"/>
        <c:ser>
          <c:idx val="0"/>
          <c:order val="0"/>
          <c:tx>
            <c:strRef>
              <c:f>'[solution.xlsx]PART B'!$A$6546</c:f>
              <c:strCache>
                <c:ptCount val="1"/>
                <c:pt idx="0">
                  <c:v>Beta FOMC</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'[solution.xlsx]PART B'!$B$6545:$Z$6545</c:f>
              <c:strCache>
                <c:ptCount val="25"/>
                <c:pt idx="0">
                  <c:v>SMALL LoBM</c:v>
                </c:pt>
                <c:pt idx="1">
                  <c:v>ME1 BM2</c:v>
                </c:pt>
                <c:pt idx="2">
                  <c:v>ME1 BM3</c:v>
                </c:pt>
                <c:pt idx="3">
                  <c:v>ME1 BM4</c:v>
                </c:pt>
                <c:pt idx="4">
                  <c:v>SMALL HiBM</c:v>
                </c:pt>
                <c:pt idx="5">
                  <c:v>ME2 BM1</c:v>
                </c:pt>
                <c:pt idx="6">
                  <c:v>ME2 BM2</c:v>
                </c:pt>
                <c:pt idx="7">
                  <c:v>ME2 BM3</c:v>
                </c:pt>
                <c:pt idx="8">
                  <c:v>ME2 BM4</c:v>
                </c:pt>
                <c:pt idx="9">
                  <c:v>ME2 BM5</c:v>
                </c:pt>
                <c:pt idx="10">
                  <c:v>ME3 BM1</c:v>
                </c:pt>
                <c:pt idx="11">
                  <c:v>ME3 BM2</c:v>
                </c:pt>
                <c:pt idx="12">
                  <c:v>ME3 BM3</c:v>
                </c:pt>
                <c:pt idx="13">
                  <c:v>ME3 BM4</c:v>
                </c:pt>
                <c:pt idx="14">
                  <c:v>ME3 BM5</c:v>
                </c:pt>
                <c:pt idx="15">
                  <c:v>ME4 BM1</c:v>
                </c:pt>
                <c:pt idx="16">
                  <c:v>ME4 BM2</c:v>
                </c:pt>
                <c:pt idx="17">
                  <c:v>ME4 BM3</c:v>
                </c:pt>
                <c:pt idx="18">
                  <c:v>ME4 BM4</c:v>
                </c:pt>
                <c:pt idx="19">
                  <c:v>ME4 BM5</c:v>
                </c:pt>
                <c:pt idx="20">
                  <c:v>BIG LoBM</c:v>
                </c:pt>
                <c:pt idx="21">
                  <c:v>ME5 BM2</c:v>
                </c:pt>
                <c:pt idx="22">
                  <c:v>ME5 BM3</c:v>
                </c:pt>
                <c:pt idx="23">
                  <c:v>ME5 BM4</c:v>
                </c:pt>
                <c:pt idx="24">
                  <c:v>BIG HiBM</c:v>
                </c:pt>
              </c:strCache>
            </c:strRef>
          </c:cat>
          <c:val>
            <c:numRef>
              <c:f>'[solution.xlsx]PART B'!$B$6546:$Z$6546</c:f>
              <c:numCache>
                <c:formatCode>General</c:formatCode>
                <c:ptCount val="25"/>
                <c:pt idx="0">
                  <c:v>1.0808978712888371</c:v>
                </c:pt>
                <c:pt idx="1">
                  <c:v>0.99256669895381811</c:v>
                </c:pt>
                <c:pt idx="2">
                  <c:v>0.95798769429508979</c:v>
                </c:pt>
                <c:pt idx="3">
                  <c:v>0.92983540352509975</c:v>
                </c:pt>
                <c:pt idx="4">
                  <c:v>0.74639027115151602</c:v>
                </c:pt>
                <c:pt idx="5">
                  <c:v>1.2036976953753176</c:v>
                </c:pt>
                <c:pt idx="6">
                  <c:v>1.0588941075975216</c:v>
                </c:pt>
                <c:pt idx="7">
                  <c:v>1.0454396734324141</c:v>
                </c:pt>
                <c:pt idx="8">
                  <c:v>1.0558051842881466</c:v>
                </c:pt>
                <c:pt idx="9">
                  <c:v>1.098866151899756</c:v>
                </c:pt>
                <c:pt idx="10">
                  <c:v>1.1403730164533499</c:v>
                </c:pt>
                <c:pt idx="11">
                  <c:v>1.0099972538976452</c:v>
                </c:pt>
                <c:pt idx="12">
                  <c:v>0.99091594931540616</c:v>
                </c:pt>
                <c:pt idx="13">
                  <c:v>1.0121425149730339</c:v>
                </c:pt>
                <c:pt idx="14">
                  <c:v>1.1298899786118977</c:v>
                </c:pt>
                <c:pt idx="15">
                  <c:v>1.1265012276580706</c:v>
                </c:pt>
                <c:pt idx="16">
                  <c:v>0.9884092611906572</c:v>
                </c:pt>
                <c:pt idx="17">
                  <c:v>0.90310540810916218</c:v>
                </c:pt>
                <c:pt idx="18">
                  <c:v>0.92145340559992217</c:v>
                </c:pt>
                <c:pt idx="19">
                  <c:v>1.0918862293571063</c:v>
                </c:pt>
                <c:pt idx="20">
                  <c:v>0.97884729595658149</c:v>
                </c:pt>
                <c:pt idx="21">
                  <c:v>0.86564043330894369</c:v>
                </c:pt>
                <c:pt idx="22">
                  <c:v>0.93740359352450064</c:v>
                </c:pt>
                <c:pt idx="23">
                  <c:v>0.96867216909724763</c:v>
                </c:pt>
                <c:pt idx="24">
                  <c:v>1.1342071250817061</c:v>
                </c:pt>
              </c:numCache>
            </c:numRef>
          </c:val>
          <c:extLst>
            <c:ext xmlns:c16="http://schemas.microsoft.com/office/drawing/2014/chart" uri="{C3380CC4-5D6E-409C-BE32-E72D297353CC}">
              <c16:uniqueId val="{00000000-BA5C-43E9-8102-5F4FF433DE79}"/>
            </c:ext>
          </c:extLst>
        </c:ser>
        <c:ser>
          <c:idx val="2"/>
          <c:order val="1"/>
          <c:tx>
            <c:strRef>
              <c:f>'[solution.xlsx]PART B'!$A$6552</c:f>
              <c:strCache>
                <c:ptCount val="1"/>
                <c:pt idx="0">
                  <c:v>Beta NON FOMC</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'[solution.xlsx]PART B'!$B$6545:$Z$6545</c:f>
              <c:strCache>
                <c:ptCount val="25"/>
                <c:pt idx="0">
                  <c:v>SMALL LoBM</c:v>
                </c:pt>
                <c:pt idx="1">
                  <c:v>ME1 BM2</c:v>
                </c:pt>
                <c:pt idx="2">
                  <c:v>ME1 BM3</c:v>
                </c:pt>
                <c:pt idx="3">
                  <c:v>ME1 BM4</c:v>
                </c:pt>
                <c:pt idx="4">
                  <c:v>SMALL HiBM</c:v>
                </c:pt>
                <c:pt idx="5">
                  <c:v>ME2 BM1</c:v>
                </c:pt>
                <c:pt idx="6">
                  <c:v>ME2 BM2</c:v>
                </c:pt>
                <c:pt idx="7">
                  <c:v>ME2 BM3</c:v>
                </c:pt>
                <c:pt idx="8">
                  <c:v>ME2 BM4</c:v>
                </c:pt>
                <c:pt idx="9">
                  <c:v>ME2 BM5</c:v>
                </c:pt>
                <c:pt idx="10">
                  <c:v>ME3 BM1</c:v>
                </c:pt>
                <c:pt idx="11">
                  <c:v>ME3 BM2</c:v>
                </c:pt>
                <c:pt idx="12">
                  <c:v>ME3 BM3</c:v>
                </c:pt>
                <c:pt idx="13">
                  <c:v>ME3 BM4</c:v>
                </c:pt>
                <c:pt idx="14">
                  <c:v>ME3 BM5</c:v>
                </c:pt>
                <c:pt idx="15">
                  <c:v>ME4 BM1</c:v>
                </c:pt>
                <c:pt idx="16">
                  <c:v>ME4 BM2</c:v>
                </c:pt>
                <c:pt idx="17">
                  <c:v>ME4 BM3</c:v>
                </c:pt>
                <c:pt idx="18">
                  <c:v>ME4 BM4</c:v>
                </c:pt>
                <c:pt idx="19">
                  <c:v>ME4 BM5</c:v>
                </c:pt>
                <c:pt idx="20">
                  <c:v>BIG LoBM</c:v>
                </c:pt>
                <c:pt idx="21">
                  <c:v>ME5 BM2</c:v>
                </c:pt>
                <c:pt idx="22">
                  <c:v>ME5 BM3</c:v>
                </c:pt>
                <c:pt idx="23">
                  <c:v>ME5 BM4</c:v>
                </c:pt>
                <c:pt idx="24">
                  <c:v>BIG HiBM</c:v>
                </c:pt>
              </c:strCache>
            </c:strRef>
          </c:cat>
          <c:val>
            <c:numRef>
              <c:f>'[solution.xlsx]PART B'!$B$6552:$Z$6552</c:f>
              <c:numCache>
                <c:formatCode>General</c:formatCode>
                <c:ptCount val="25"/>
                <c:pt idx="0">
                  <c:v>1.0941719879335128</c:v>
                </c:pt>
                <c:pt idx="1">
                  <c:v>1.0363436865513878</c:v>
                </c:pt>
                <c:pt idx="2">
                  <c:v>0.94761979503943539</c:v>
                </c:pt>
                <c:pt idx="3">
                  <c:v>0.9329843684686564</c:v>
                </c:pt>
                <c:pt idx="4">
                  <c:v>0.86972089707895006</c:v>
                </c:pt>
                <c:pt idx="5">
                  <c:v>1.1732137504164857</c:v>
                </c:pt>
                <c:pt idx="6">
                  <c:v>1.0880780618855443</c:v>
                </c:pt>
                <c:pt idx="7">
                  <c:v>1.037711048912018</c:v>
                </c:pt>
                <c:pt idx="8">
                  <c:v>1.0317608556975537</c:v>
                </c:pt>
                <c:pt idx="9">
                  <c:v>1.1181272875193877</c:v>
                </c:pt>
                <c:pt idx="10">
                  <c:v>1.1740065058806297</c:v>
                </c:pt>
                <c:pt idx="11">
                  <c:v>1.0401372222219916</c:v>
                </c:pt>
                <c:pt idx="12">
                  <c:v>1.005797613746239</c:v>
                </c:pt>
                <c:pt idx="13">
                  <c:v>1.0139925127485299</c:v>
                </c:pt>
                <c:pt idx="14">
                  <c:v>1.0974896238020435</c:v>
                </c:pt>
                <c:pt idx="15">
                  <c:v>1.1046649092163956</c:v>
                </c:pt>
                <c:pt idx="16">
                  <c:v>0.97439283914273511</c:v>
                </c:pt>
                <c:pt idx="17">
                  <c:v>0.98229050362838854</c:v>
                </c:pt>
                <c:pt idx="18">
                  <c:v>0.97563896612672152</c:v>
                </c:pt>
                <c:pt idx="19">
                  <c:v>1.095263770231514</c:v>
                </c:pt>
                <c:pt idx="20">
                  <c:v>0.97735082450205124</c:v>
                </c:pt>
                <c:pt idx="21">
                  <c:v>0.91595440774191128</c:v>
                </c:pt>
                <c:pt idx="22">
                  <c:v>0.92604756257294973</c:v>
                </c:pt>
                <c:pt idx="23">
                  <c:v>1.0109508317091358</c:v>
                </c:pt>
                <c:pt idx="24">
                  <c:v>1.1706194401723584</c:v>
                </c:pt>
              </c:numCache>
            </c:numRef>
          </c:val>
          <c:extLst>
            <c:ext xmlns:c16="http://schemas.microsoft.com/office/drawing/2014/chart" uri="{C3380CC4-5D6E-409C-BE32-E72D297353CC}">
              <c16:uniqueId val="{00000001-BA5C-43E9-8102-5F4FF433DE79}"/>
            </c:ext>
          </c:extLst>
        </c:ser>
        <c:dLbls>
          <c:showLegendKey val="0"/>
          <c:showVal val="0"/>
          <c:showCatName val="0"/>
          <c:showSerName val="0"/>
          <c:showPercent val="0"/>
          <c:showBubbleSize val="0"/>
        </c:dLbls>
        <c:gapWidth val="100"/>
        <c:axId val="60104863"/>
        <c:axId val="60108703"/>
        <c:extLst/>
      </c:barChart>
      <c:catAx>
        <c:axId val="60104863"/>
        <c:scaling>
          <c:orientation val="minMax"/>
        </c:scaling>
        <c:delete val="0"/>
        <c:axPos val="b"/>
        <c:numFmt formatCode="General" sourceLinked="1"/>
        <c:majorTickMark val="none"/>
        <c:minorTickMark val="none"/>
        <c:tickLblPos val="high"/>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0108703"/>
        <c:crosses val="autoZero"/>
        <c:auto val="1"/>
        <c:lblAlgn val="ctr"/>
        <c:lblOffset val="100"/>
        <c:noMultiLvlLbl val="0"/>
      </c:catAx>
      <c:valAx>
        <c:axId val="60108703"/>
        <c:scaling>
          <c:orientation val="minMax"/>
          <c:max val="1.3"/>
          <c:min val="0.70000000000000007"/>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BETA</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0104863"/>
        <c:crosses val="autoZero"/>
        <c:crossBetween val="between"/>
      </c:valAx>
      <c:spPr>
        <a:noFill/>
        <a:ln>
          <a:noFill/>
        </a:ln>
        <a:effectLst/>
      </c:spPr>
    </c:plotArea>
    <c:legend>
      <c:legendPos val="t"/>
      <c:layout>
        <c:manualLayout>
          <c:xMode val="edge"/>
          <c:yMode val="edge"/>
          <c:x val="0.21788720220068644"/>
          <c:y val="0.10257280974856373"/>
          <c:w val="0.5867233242479305"/>
          <c:h val="6.997768239782800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Alpha FOMC vs NON FOMC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'[solution.xlsx]PART D'!$A$6788</c:f>
              <c:strCache>
                <c:ptCount val="1"/>
                <c:pt idx="0">
                  <c:v>alpha FOMC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'[solution.xlsx]PART D'!$B$6786:$Z$6786</c:f>
              <c:strCache>
                <c:ptCount val="25"/>
                <c:pt idx="0">
                  <c:v>SMALL LoBM</c:v>
                </c:pt>
                <c:pt idx="1">
                  <c:v>ME1 BM2</c:v>
                </c:pt>
                <c:pt idx="2">
                  <c:v>ME1 BM3</c:v>
                </c:pt>
                <c:pt idx="3">
                  <c:v>ME1 BM4</c:v>
                </c:pt>
                <c:pt idx="4">
                  <c:v>SMALL HiBM</c:v>
                </c:pt>
                <c:pt idx="5">
                  <c:v>ME2 BM1</c:v>
                </c:pt>
                <c:pt idx="6">
                  <c:v>ME2 BM2</c:v>
                </c:pt>
                <c:pt idx="7">
                  <c:v>ME2 BM3</c:v>
                </c:pt>
                <c:pt idx="8">
                  <c:v>ME2 BM4</c:v>
                </c:pt>
                <c:pt idx="9">
                  <c:v>ME2 BM5</c:v>
                </c:pt>
                <c:pt idx="10">
                  <c:v>ME3 BM1</c:v>
                </c:pt>
                <c:pt idx="11">
                  <c:v>ME3 BM2</c:v>
                </c:pt>
                <c:pt idx="12">
                  <c:v>ME3 BM3</c:v>
                </c:pt>
                <c:pt idx="13">
                  <c:v>ME3 BM4</c:v>
                </c:pt>
                <c:pt idx="14">
                  <c:v>ME3 BM5</c:v>
                </c:pt>
                <c:pt idx="15">
                  <c:v>ME4 BM1</c:v>
                </c:pt>
                <c:pt idx="16">
                  <c:v>ME4 BM2</c:v>
                </c:pt>
                <c:pt idx="17">
                  <c:v>ME4 BM3</c:v>
                </c:pt>
                <c:pt idx="18">
                  <c:v>ME4 BM4</c:v>
                </c:pt>
                <c:pt idx="19">
                  <c:v>ME4 BM5</c:v>
                </c:pt>
                <c:pt idx="20">
                  <c:v>BIG LoBM</c:v>
                </c:pt>
                <c:pt idx="21">
                  <c:v>ME5 BM2</c:v>
                </c:pt>
                <c:pt idx="22">
                  <c:v>ME5 BM3</c:v>
                </c:pt>
                <c:pt idx="23">
                  <c:v>ME5 BM4</c:v>
                </c:pt>
                <c:pt idx="24">
                  <c:v>BIG HiBM</c:v>
                </c:pt>
              </c:strCache>
            </c:strRef>
          </c:cat>
          <c:val>
            <c:numRef>
              <c:f>'[solution.xlsx]PART D'!$B$6788:$Z$6788</c:f>
              <c:numCache>
                <c:formatCode>General</c:formatCode>
                <c:ptCount val="25"/>
                <c:pt idx="0">
                  <c:v>-1.3947564876854057E-2</c:v>
                </c:pt>
                <c:pt idx="1">
                  <c:v>4.1853277686917559E-2</c:v>
                </c:pt>
                <c:pt idx="2">
                  <c:v>5.1921280392872873E-2</c:v>
                </c:pt>
                <c:pt idx="3">
                  <c:v>4.7658883629489876E-2</c:v>
                </c:pt>
                <c:pt idx="4">
                  <c:v>4.8867453884535408E-2</c:v>
                </c:pt>
                <c:pt idx="5">
                  <c:v>8.4180791307039371E-2</c:v>
                </c:pt>
                <c:pt idx="6">
                  <c:v>0.10919919643437934</c:v>
                </c:pt>
                <c:pt idx="7">
                  <c:v>6.2725032051271168E-2</c:v>
                </c:pt>
                <c:pt idx="8">
                  <c:v>8.7599784106050516E-2</c:v>
                </c:pt>
                <c:pt idx="9">
                  <c:v>5.6499062737462746E-2</c:v>
                </c:pt>
                <c:pt idx="10">
                  <c:v>0.12021050915846349</c:v>
                </c:pt>
                <c:pt idx="11">
                  <c:v>0.11888744428554876</c:v>
                </c:pt>
                <c:pt idx="12">
                  <c:v>9.7097406483899168E-2</c:v>
                </c:pt>
                <c:pt idx="13">
                  <c:v>0.10571757255844358</c:v>
                </c:pt>
                <c:pt idx="14">
                  <c:v>8.1511142653078156E-2</c:v>
                </c:pt>
                <c:pt idx="15">
                  <c:v>0.14645161080130015</c:v>
                </c:pt>
                <c:pt idx="16">
                  <c:v>9.0662486705165246E-2</c:v>
                </c:pt>
                <c:pt idx="17">
                  <c:v>0.10619788045956577</c:v>
                </c:pt>
                <c:pt idx="18">
                  <c:v>0.1097255341763009</c:v>
                </c:pt>
                <c:pt idx="19">
                  <c:v>6.8302097783326632E-2</c:v>
                </c:pt>
                <c:pt idx="20">
                  <c:v>0.11625296133633545</c:v>
                </c:pt>
                <c:pt idx="21">
                  <c:v>7.7344056765978553E-2</c:v>
                </c:pt>
                <c:pt idx="22">
                  <c:v>0.12240211985018723</c:v>
                </c:pt>
                <c:pt idx="23">
                  <c:v>8.4928174777610832E-2</c:v>
                </c:pt>
                <c:pt idx="24">
                  <c:v>8.8099750493690704E-2</c:v>
                </c:pt>
              </c:numCache>
            </c:numRef>
          </c:val>
          <c:smooth val="0"/>
          <c:extLst>
            <c:ext xmlns:c16="http://schemas.microsoft.com/office/drawing/2014/chart" uri="{C3380CC4-5D6E-409C-BE32-E72D297353CC}">
              <c16:uniqueId val="{00000000-6307-4A06-8E6D-94BDB07C5E30}"/>
            </c:ext>
          </c:extLst>
        </c:ser>
        <c:ser>
          <c:idx val="1"/>
          <c:order val="1"/>
          <c:tx>
            <c:strRef>
              <c:f>'[solution.xlsx]PART D'!$A$6795</c:f>
              <c:strCache>
                <c:ptCount val="1"/>
                <c:pt idx="0">
                  <c:v>alpha NON FOMC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'[solution.xlsx]PART D'!$B$6786:$Z$6786</c:f>
              <c:strCache>
                <c:ptCount val="25"/>
                <c:pt idx="0">
                  <c:v>SMALL LoBM</c:v>
                </c:pt>
                <c:pt idx="1">
                  <c:v>ME1 BM2</c:v>
                </c:pt>
                <c:pt idx="2">
                  <c:v>ME1 BM3</c:v>
                </c:pt>
                <c:pt idx="3">
                  <c:v>ME1 BM4</c:v>
                </c:pt>
                <c:pt idx="4">
                  <c:v>SMALL HiBM</c:v>
                </c:pt>
                <c:pt idx="5">
                  <c:v>ME2 BM1</c:v>
                </c:pt>
                <c:pt idx="6">
                  <c:v>ME2 BM2</c:v>
                </c:pt>
                <c:pt idx="7">
                  <c:v>ME2 BM3</c:v>
                </c:pt>
                <c:pt idx="8">
                  <c:v>ME2 BM4</c:v>
                </c:pt>
                <c:pt idx="9">
                  <c:v>ME2 BM5</c:v>
                </c:pt>
                <c:pt idx="10">
                  <c:v>ME3 BM1</c:v>
                </c:pt>
                <c:pt idx="11">
                  <c:v>ME3 BM2</c:v>
                </c:pt>
                <c:pt idx="12">
                  <c:v>ME3 BM3</c:v>
                </c:pt>
                <c:pt idx="13">
                  <c:v>ME3 BM4</c:v>
                </c:pt>
                <c:pt idx="14">
                  <c:v>ME3 BM5</c:v>
                </c:pt>
                <c:pt idx="15">
                  <c:v>ME4 BM1</c:v>
                </c:pt>
                <c:pt idx="16">
                  <c:v>ME4 BM2</c:v>
                </c:pt>
                <c:pt idx="17">
                  <c:v>ME4 BM3</c:v>
                </c:pt>
                <c:pt idx="18">
                  <c:v>ME4 BM4</c:v>
                </c:pt>
                <c:pt idx="19">
                  <c:v>ME4 BM5</c:v>
                </c:pt>
                <c:pt idx="20">
                  <c:v>BIG LoBM</c:v>
                </c:pt>
                <c:pt idx="21">
                  <c:v>ME5 BM2</c:v>
                </c:pt>
                <c:pt idx="22">
                  <c:v>ME5 BM3</c:v>
                </c:pt>
                <c:pt idx="23">
                  <c:v>ME5 BM4</c:v>
                </c:pt>
                <c:pt idx="24">
                  <c:v>BIG HiBM</c:v>
                </c:pt>
              </c:strCache>
            </c:strRef>
          </c:cat>
          <c:val>
            <c:numRef>
              <c:f>'[solution.xlsx]PART D'!$B$6795:$Z$6795</c:f>
              <c:numCache>
                <c:formatCode>General</c:formatCode>
                <c:ptCount val="25"/>
                <c:pt idx="0">
                  <c:v>-1.58692964305998E-2</c:v>
                </c:pt>
                <c:pt idx="1">
                  <c:v>-4.4017235440349418E-3</c:v>
                </c:pt>
                <c:pt idx="2">
                  <c:v>7.39076795114001E-3</c:v>
                </c:pt>
                <c:pt idx="3">
                  <c:v>1.0992748961365744E-2</c:v>
                </c:pt>
                <c:pt idx="4">
                  <c:v>2.5286334449751195E-2</c:v>
                </c:pt>
                <c:pt idx="5">
                  <c:v>-1.436792764136232E-2</c:v>
                </c:pt>
                <c:pt idx="6">
                  <c:v>-3.2087118313164475E-3</c:v>
                </c:pt>
                <c:pt idx="7">
                  <c:v>1.7660675742572837E-3</c:v>
                </c:pt>
                <c:pt idx="8">
                  <c:v>5.5976309016513275E-3</c:v>
                </c:pt>
                <c:pt idx="9">
                  <c:v>1.3172396916865623E-2</c:v>
                </c:pt>
                <c:pt idx="10">
                  <c:v>-9.3509764830948285E-3</c:v>
                </c:pt>
                <c:pt idx="11">
                  <c:v>-4.385550715787237E-3</c:v>
                </c:pt>
                <c:pt idx="12">
                  <c:v>3.1519981458674965E-3</c:v>
                </c:pt>
                <c:pt idx="13">
                  <c:v>5.9316516167071918E-3</c:v>
                </c:pt>
                <c:pt idx="14">
                  <c:v>1.1750260457401773E-2</c:v>
                </c:pt>
                <c:pt idx="15">
                  <c:v>-2.2731152900772513E-3</c:v>
                </c:pt>
                <c:pt idx="16">
                  <c:v>8.1252525404457154E-4</c:v>
                </c:pt>
                <c:pt idx="17">
                  <c:v>2.9758413313267472E-3</c:v>
                </c:pt>
                <c:pt idx="18">
                  <c:v>4.6207425655361792E-3</c:v>
                </c:pt>
                <c:pt idx="19">
                  <c:v>7.8469977767327628E-3</c:v>
                </c:pt>
                <c:pt idx="20">
                  <c:v>-2.6398182232010639E-3</c:v>
                </c:pt>
                <c:pt idx="21">
                  <c:v>4.449239999430761E-4</c:v>
                </c:pt>
                <c:pt idx="22">
                  <c:v>-2.6695404095121184E-3</c:v>
                </c:pt>
                <c:pt idx="23">
                  <c:v>-2.662444181870947E-3</c:v>
                </c:pt>
                <c:pt idx="24">
                  <c:v>-5.5290805742126414E-3</c:v>
                </c:pt>
              </c:numCache>
            </c:numRef>
          </c:val>
          <c:smooth val="0"/>
          <c:extLst>
            <c:ext xmlns:c16="http://schemas.microsoft.com/office/drawing/2014/chart" uri="{C3380CC4-5D6E-409C-BE32-E72D297353CC}">
              <c16:uniqueId val="{00000001-6307-4A06-8E6D-94BDB07C5E30}"/>
            </c:ext>
          </c:extLst>
        </c:ser>
        <c:dLbls>
          <c:showLegendKey val="0"/>
          <c:showVal val="0"/>
          <c:showCatName val="0"/>
          <c:showSerName val="0"/>
          <c:showPercent val="0"/>
          <c:showBubbleSize val="0"/>
        </c:dLbls>
        <c:marker val="1"/>
        <c:smooth val="0"/>
        <c:axId val="265546544"/>
        <c:axId val="265539888"/>
      </c:lineChart>
      <c:catAx>
        <c:axId val="265546544"/>
        <c:scaling>
          <c:orientation val="minMax"/>
        </c:scaling>
        <c:delete val="0"/>
        <c:axPos val="t"/>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539888"/>
        <c:crosses val="max"/>
        <c:auto val="0"/>
        <c:lblAlgn val="ctr"/>
        <c:lblOffset val="100"/>
        <c:noMultiLvlLbl val="0"/>
      </c:catAx>
      <c:valAx>
        <c:axId val="2655398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ALPHA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546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AU"/>
              <a:t>BETA</a:t>
            </a:r>
            <a:r>
              <a:rPr lang="en-AU" baseline="0"/>
              <a:t> FOMC vs NON FOMC</a:t>
            </a:r>
            <a:endParaRPr lang="en-AU"/>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'[solution.xlsx]PART D'!$A$6787</c:f>
              <c:strCache>
                <c:ptCount val="1"/>
                <c:pt idx="0">
                  <c:v>Beta FOMC</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'[solution.xlsx]PART D'!$B$6793:$Z$6793</c:f>
              <c:strCache>
                <c:ptCount val="25"/>
                <c:pt idx="0">
                  <c:v>SMALL LoBM</c:v>
                </c:pt>
                <c:pt idx="1">
                  <c:v>ME1 BM2</c:v>
                </c:pt>
                <c:pt idx="2">
                  <c:v>ME1 BM3</c:v>
                </c:pt>
                <c:pt idx="3">
                  <c:v>ME1 BM4</c:v>
                </c:pt>
                <c:pt idx="4">
                  <c:v>SMALL HiBM</c:v>
                </c:pt>
                <c:pt idx="5">
                  <c:v>ME2 BM1</c:v>
                </c:pt>
                <c:pt idx="6">
                  <c:v>ME2 BM2</c:v>
                </c:pt>
                <c:pt idx="7">
                  <c:v>ME2 BM3</c:v>
                </c:pt>
                <c:pt idx="8">
                  <c:v>ME2 BM4</c:v>
                </c:pt>
                <c:pt idx="9">
                  <c:v>ME2 BM5</c:v>
                </c:pt>
                <c:pt idx="10">
                  <c:v>ME3 BM1</c:v>
                </c:pt>
                <c:pt idx="11">
                  <c:v>ME3 BM2</c:v>
                </c:pt>
                <c:pt idx="12">
                  <c:v>ME3 BM3</c:v>
                </c:pt>
                <c:pt idx="13">
                  <c:v>ME3 BM4</c:v>
                </c:pt>
                <c:pt idx="14">
                  <c:v>ME3 BM5</c:v>
                </c:pt>
                <c:pt idx="15">
                  <c:v>ME4 BM1</c:v>
                </c:pt>
                <c:pt idx="16">
                  <c:v>ME4 BM2</c:v>
                </c:pt>
                <c:pt idx="17">
                  <c:v>ME4 BM3</c:v>
                </c:pt>
                <c:pt idx="18">
                  <c:v>ME4 BM4</c:v>
                </c:pt>
                <c:pt idx="19">
                  <c:v>ME4 BM5</c:v>
                </c:pt>
                <c:pt idx="20">
                  <c:v>BIG LoBM</c:v>
                </c:pt>
                <c:pt idx="21">
                  <c:v>ME5 BM2</c:v>
                </c:pt>
                <c:pt idx="22">
                  <c:v>ME5 BM3</c:v>
                </c:pt>
                <c:pt idx="23">
                  <c:v>ME5 BM4</c:v>
                </c:pt>
                <c:pt idx="24">
                  <c:v>BIG HiBM</c:v>
                </c:pt>
              </c:strCache>
            </c:strRef>
          </c:cat>
          <c:val>
            <c:numRef>
              <c:f>'[solution.xlsx]PART D'!$B$6787:$Z$6787</c:f>
              <c:numCache>
                <c:formatCode>General</c:formatCode>
                <c:ptCount val="25"/>
                <c:pt idx="0">
                  <c:v>0.38335014943524026</c:v>
                </c:pt>
                <c:pt idx="1">
                  <c:v>0.38317808550044835</c:v>
                </c:pt>
                <c:pt idx="2">
                  <c:v>0.38976180822384637</c:v>
                </c:pt>
                <c:pt idx="3">
                  <c:v>0.38661927582838224</c:v>
                </c:pt>
                <c:pt idx="4">
                  <c:v>0.31300823811172407</c:v>
                </c:pt>
                <c:pt idx="5">
                  <c:v>0.57235123465820392</c:v>
                </c:pt>
                <c:pt idx="6">
                  <c:v>0.56004493442762071</c:v>
                </c:pt>
                <c:pt idx="7">
                  <c:v>0.5356341569553672</c:v>
                </c:pt>
                <c:pt idx="8">
                  <c:v>0.54707659814492271</c:v>
                </c:pt>
                <c:pt idx="9">
                  <c:v>0.50603569056823372</c:v>
                </c:pt>
                <c:pt idx="10">
                  <c:v>0.63569626610355023</c:v>
                </c:pt>
                <c:pt idx="11">
                  <c:v>0.60036418087227972</c:v>
                </c:pt>
                <c:pt idx="12">
                  <c:v>0.62172898416156053</c:v>
                </c:pt>
                <c:pt idx="13">
                  <c:v>0.56269185776372987</c:v>
                </c:pt>
                <c:pt idx="14">
                  <c:v>0.55649554690416236</c:v>
                </c:pt>
                <c:pt idx="15">
                  <c:v>0.64891677182524654</c:v>
                </c:pt>
                <c:pt idx="16">
                  <c:v>0.63120997649069588</c:v>
                </c:pt>
                <c:pt idx="17">
                  <c:v>0.59243504054510054</c:v>
                </c:pt>
                <c:pt idx="18">
                  <c:v>0.55698118666875818</c:v>
                </c:pt>
                <c:pt idx="19">
                  <c:v>0.56960010696051</c:v>
                </c:pt>
                <c:pt idx="20">
                  <c:v>0.77656284055071378</c:v>
                </c:pt>
                <c:pt idx="21">
                  <c:v>0.61427837695918697</c:v>
                </c:pt>
                <c:pt idx="22">
                  <c:v>0.55043765273752554</c:v>
                </c:pt>
                <c:pt idx="23">
                  <c:v>0.62390944356805733</c:v>
                </c:pt>
                <c:pt idx="24">
                  <c:v>0.71237758382749061</c:v>
                </c:pt>
              </c:numCache>
            </c:numRef>
          </c:val>
          <c:extLst>
            <c:ext xmlns:c16="http://schemas.microsoft.com/office/drawing/2014/chart" uri="{C3380CC4-5D6E-409C-BE32-E72D297353CC}">
              <c16:uniqueId val="{00000000-2875-454A-8D3C-4680521D6D92}"/>
            </c:ext>
          </c:extLst>
        </c:ser>
        <c:ser>
          <c:idx val="1"/>
          <c:order val="1"/>
          <c:tx>
            <c:strRef>
              <c:f>'[solution.xlsx]PART D'!$A$6794</c:f>
              <c:strCache>
                <c:ptCount val="1"/>
                <c:pt idx="0">
                  <c:v>Beta NON FOMC</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'[solution.xlsx]PART D'!$B$6793:$Z$6793</c:f>
              <c:strCache>
                <c:ptCount val="25"/>
                <c:pt idx="0">
                  <c:v>SMALL LoBM</c:v>
                </c:pt>
                <c:pt idx="1">
                  <c:v>ME1 BM2</c:v>
                </c:pt>
                <c:pt idx="2">
                  <c:v>ME1 BM3</c:v>
                </c:pt>
                <c:pt idx="3">
                  <c:v>ME1 BM4</c:v>
                </c:pt>
                <c:pt idx="4">
                  <c:v>SMALL HiBM</c:v>
                </c:pt>
                <c:pt idx="5">
                  <c:v>ME2 BM1</c:v>
                </c:pt>
                <c:pt idx="6">
                  <c:v>ME2 BM2</c:v>
                </c:pt>
                <c:pt idx="7">
                  <c:v>ME2 BM3</c:v>
                </c:pt>
                <c:pt idx="8">
                  <c:v>ME2 BM4</c:v>
                </c:pt>
                <c:pt idx="9">
                  <c:v>ME2 BM5</c:v>
                </c:pt>
                <c:pt idx="10">
                  <c:v>ME3 BM1</c:v>
                </c:pt>
                <c:pt idx="11">
                  <c:v>ME3 BM2</c:v>
                </c:pt>
                <c:pt idx="12">
                  <c:v>ME3 BM3</c:v>
                </c:pt>
                <c:pt idx="13">
                  <c:v>ME3 BM4</c:v>
                </c:pt>
                <c:pt idx="14">
                  <c:v>ME3 BM5</c:v>
                </c:pt>
                <c:pt idx="15">
                  <c:v>ME4 BM1</c:v>
                </c:pt>
                <c:pt idx="16">
                  <c:v>ME4 BM2</c:v>
                </c:pt>
                <c:pt idx="17">
                  <c:v>ME4 BM3</c:v>
                </c:pt>
                <c:pt idx="18">
                  <c:v>ME4 BM4</c:v>
                </c:pt>
                <c:pt idx="19">
                  <c:v>ME4 BM5</c:v>
                </c:pt>
                <c:pt idx="20">
                  <c:v>BIG LoBM</c:v>
                </c:pt>
                <c:pt idx="21">
                  <c:v>ME5 BM2</c:v>
                </c:pt>
                <c:pt idx="22">
                  <c:v>ME5 BM3</c:v>
                </c:pt>
                <c:pt idx="23">
                  <c:v>ME5 BM4</c:v>
                </c:pt>
                <c:pt idx="24">
                  <c:v>BIG HiBM</c:v>
                </c:pt>
              </c:strCache>
            </c:strRef>
          </c:cat>
          <c:val>
            <c:numRef>
              <c:f>'[solution.xlsx]PART D'!$B$6794:$Z$6794</c:f>
              <c:numCache>
                <c:formatCode>General</c:formatCode>
                <c:ptCount val="25"/>
                <c:pt idx="0">
                  <c:v>0.43002805203284039</c:v>
                </c:pt>
                <c:pt idx="1">
                  <c:v>0.43453334822143985</c:v>
                </c:pt>
                <c:pt idx="2">
                  <c:v>0.43391588946747728</c:v>
                </c:pt>
                <c:pt idx="3">
                  <c:v>0.40124637240858863</c:v>
                </c:pt>
                <c:pt idx="4">
                  <c:v>0.32271647757353872</c:v>
                </c:pt>
                <c:pt idx="5">
                  <c:v>0.60579460575408106</c:v>
                </c:pt>
                <c:pt idx="6">
                  <c:v>0.59810560399064128</c:v>
                </c:pt>
                <c:pt idx="7">
                  <c:v>0.57353142044109251</c:v>
                </c:pt>
                <c:pt idx="8">
                  <c:v>0.56368731298889341</c:v>
                </c:pt>
                <c:pt idx="9">
                  <c:v>0.51511722840772356</c:v>
                </c:pt>
                <c:pt idx="10">
                  <c:v>0.69315141468542729</c:v>
                </c:pt>
                <c:pt idx="11">
                  <c:v>0.66809719635861187</c:v>
                </c:pt>
                <c:pt idx="12">
                  <c:v>0.65332005511486679</c:v>
                </c:pt>
                <c:pt idx="13">
                  <c:v>0.59884389765535007</c:v>
                </c:pt>
                <c:pt idx="14">
                  <c:v>0.59162951322455815</c:v>
                </c:pt>
                <c:pt idx="15">
                  <c:v>0.71239070318117304</c:v>
                </c:pt>
                <c:pt idx="16">
                  <c:v>0.64309735455608985</c:v>
                </c:pt>
                <c:pt idx="17">
                  <c:v>0.63870976680468716</c:v>
                </c:pt>
                <c:pt idx="18">
                  <c:v>0.59385590583510195</c:v>
                </c:pt>
                <c:pt idx="19">
                  <c:v>0.64013451546541122</c:v>
                </c:pt>
                <c:pt idx="20">
                  <c:v>0.80884653899676917</c:v>
                </c:pt>
                <c:pt idx="21">
                  <c:v>0.71010618757107269</c:v>
                </c:pt>
                <c:pt idx="22">
                  <c:v>0.69583936942305302</c:v>
                </c:pt>
                <c:pt idx="23">
                  <c:v>0.70888825553241763</c:v>
                </c:pt>
                <c:pt idx="24">
                  <c:v>0.82335452310067958</c:v>
                </c:pt>
              </c:numCache>
            </c:numRef>
          </c:val>
          <c:extLst>
            <c:ext xmlns:c16="http://schemas.microsoft.com/office/drawing/2014/chart" uri="{C3380CC4-5D6E-409C-BE32-E72D297353CC}">
              <c16:uniqueId val="{00000001-2875-454A-8D3C-4680521D6D92}"/>
            </c:ext>
          </c:extLst>
        </c:ser>
        <c:dLbls>
          <c:showLegendKey val="0"/>
          <c:showVal val="0"/>
          <c:showCatName val="0"/>
          <c:showSerName val="0"/>
          <c:showPercent val="0"/>
          <c:showBubbleSize val="0"/>
        </c:dLbls>
        <c:gapWidth val="115"/>
        <c:axId val="145786992"/>
        <c:axId val="145765776"/>
      </c:barChart>
      <c:catAx>
        <c:axId val="14578699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5765776"/>
        <c:crosses val="autoZero"/>
        <c:auto val="1"/>
        <c:lblAlgn val="ctr"/>
        <c:lblOffset val="100"/>
        <c:noMultiLvlLbl val="0"/>
      </c:catAx>
      <c:valAx>
        <c:axId val="145765776"/>
        <c:scaling>
          <c:orientation val="minMax"/>
          <c:max val="1"/>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BETA</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578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2351</TotalTime>
  <Pages>8</Pages>
  <Words>2383</Words>
  <Characters>13588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Jaskeerat Singh</dc:creator>
  <cp:keywords/>
  <dc:description/>
  <cp:lastModifiedBy>Jaskeerat Singh</cp:lastModifiedBy>
  <cp:revision>833</cp:revision>
  <dcterms:created xsi:type="dcterms:W3CDTF">2024-05-04T08:35:00Z</dcterms:created>
  <dcterms:modified xsi:type="dcterms:W3CDTF">2024-05-07T04:52:00Z</dcterms:modified>
</cp:coreProperties>
</file>