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Agent Cost Summary — memory_assistant</w:t>
      </w:r>
    </w:p>
    <w:p>
      <w:r>
        <w:rPr>
          <w:b/>
        </w:rPr>
        <w:t xml:space="preserve">Model: </w:t>
      </w:r>
      <w:r>
        <w:t xml:space="preserve">gemini-2.5-flash    </w:t>
      </w:r>
      <w:r>
        <w:rPr>
          <w:b/>
        </w:rPr>
        <w:t xml:space="preserve">Platform: </w:t>
      </w:r>
      <w:r>
        <w:t>Vertex AI Agent Engine (GEAP Agent Runtime)</w:t>
      </w:r>
    </w:p>
    <w:p>
      <w:r>
        <w:rPr>
          <w:b/>
        </w:rPr>
        <w:t xml:space="preserve">Experiments: </w:t>
      </w:r>
      <w:r>
        <w:t>EXP-004 (full priced breakdown), EXP-005 (4-run variability)</w:t>
      </w:r>
    </w:p>
    <w:p>
      <w:r>
        <w:rPr>
          <w:b/>
        </w:rPr>
        <w:t xml:space="preserve">Cost unit: </w:t>
      </w:r>
      <w:r>
        <w:t>1 interaction = 3 user messages across 2 sessions (2 facts + 1 recall) + memory generation; ~5.75 model calls. Not comparable to single-query agents.</w:t>
      </w:r>
    </w:p>
    <w:p>
      <w:pPr>
        <w:pStyle w:val="Heading1"/>
      </w:pPr>
      <w:r>
        <w:t>1. Architecture</w:t>
      </w:r>
    </w:p>
    <w:p>
      <w:r>
        <w:t>A coordinator with long-term memory delegating to two specialist sub-agents:</w:t>
      </w:r>
    </w:p>
    <w:p>
      <w:pPr>
        <w:pStyle w:val="ListBullet"/>
      </w:pPr>
      <w:r>
        <w:t>personal_assistant (coordinator) — tool: preload_memory</w:t>
      </w:r>
    </w:p>
    <w:p>
      <w:pPr>
        <w:pStyle w:val="ListBullet"/>
      </w:pPr>
      <w:r>
        <w:t xml:space="preserve">  └─ prefs_agent  → set_unit_preference, convert_temp</w:t>
      </w:r>
    </w:p>
    <w:p>
      <w:pPr>
        <w:pStyle w:val="ListBullet"/>
      </w:pPr>
      <w:r>
        <w:t xml:space="preserve">  └─ notes_agent  → make_checklist</w:t>
      </w:r>
    </w:p>
    <w:p>
      <w:pPr>
        <w:pStyle w:val="ListBullet"/>
      </w:pPr>
      <w:r>
        <w:t>Memory Bank (auto-wired on deploy) — generate / retrieve / store</w:t>
      </w:r>
    </w:p>
    <w:p>
      <w:pPr>
        <w:pStyle w:val="ListBullet"/>
      </w:pPr>
      <w:r>
        <w:t>Sessions (managed, persistent) — every turn/event persisted</w:t>
      </w:r>
    </w:p>
    <w:p>
      <w:pPr>
        <w:pStyle w:val="Heading1"/>
      </w:pPr>
      <w:r>
        <w:t>2. Components / SKUs used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Capture source</w:t>
            </w:r>
          </w:p>
        </w:tc>
      </w:tr>
      <w:tr>
        <w:tc>
          <w:tcPr>
            <w:tcW w:type="dxa" w:w="2880"/>
          </w:tcPr>
          <w:p>
            <w:r>
              <w:t>Gemini 2.5 Flash</w:t>
            </w:r>
          </w:p>
        </w:tc>
        <w:tc>
          <w:tcPr>
            <w:tcW w:type="dxa" w:w="2880"/>
          </w:tcPr>
          <w:p>
            <w:r>
              <w:t>input/output/cached tokens</w:t>
            </w:r>
          </w:p>
        </w:tc>
        <w:tc>
          <w:tcPr>
            <w:tcW w:type="dxa" w:w="2880"/>
          </w:tcPr>
          <w:p>
            <w:r>
              <w:t>usage_metadata</w:t>
            </w:r>
          </w:p>
        </w:tc>
      </w:tr>
      <w:tr>
        <w:tc>
          <w:tcPr>
            <w:tcW w:type="dxa" w:w="2880"/>
          </w:tcPr>
          <w:p>
            <w:r>
              <w:t>Agent Runtime</w:t>
            </w:r>
          </w:p>
        </w:tc>
        <w:tc>
          <w:tcPr>
            <w:tcW w:type="dxa" w:w="2880"/>
          </w:tcPr>
          <w:p>
            <w:r>
              <w:t>vCPU-sec + GiB-sec</w:t>
            </w:r>
          </w:p>
        </w:tc>
        <w:tc>
          <w:tcPr>
            <w:tcW w:type="dxa" w:w="2880"/>
          </w:tcPr>
          <w:p>
            <w:r>
              <w:t>Cloud Monitoring allocation_time</w:t>
            </w:r>
          </w:p>
        </w:tc>
      </w:tr>
      <w:tr>
        <w:tc>
          <w:tcPr>
            <w:tcW w:type="dxa" w:w="2880"/>
          </w:tcPr>
          <w:p>
            <w:r>
              <w:t>Memory Bank — generate</w:t>
            </w:r>
          </w:p>
        </w:tc>
        <w:tc>
          <w:tcPr>
            <w:tcW w:type="dxa" w:w="2880"/>
          </w:tcPr>
          <w:p>
            <w:r>
              <w:t>Gemini tokens (server-side)</w:t>
            </w:r>
          </w:p>
        </w:tc>
        <w:tc>
          <w:tcPr>
            <w:tcW w:type="dxa" w:w="2880"/>
          </w:tcPr>
          <w:p>
            <w:r>
              <w:t>Monitoring generate_memories_token_count</w:t>
            </w:r>
          </w:p>
        </w:tc>
      </w:tr>
      <w:tr>
        <w:tc>
          <w:tcPr>
            <w:tcW w:type="dxa" w:w="2880"/>
          </w:tcPr>
          <w:p>
            <w:r>
              <w:t>Memory Bank — retrieve</w:t>
            </w:r>
          </w:p>
        </w:tc>
        <w:tc>
          <w:tcPr>
            <w:tcW w:type="dxa" w:w="2880"/>
          </w:tcPr>
          <w:p>
            <w:r>
              <w:t>per retrieval op</w:t>
            </w:r>
          </w:p>
        </w:tc>
        <w:tc>
          <w:tcPr>
            <w:tcW w:type="dxa" w:w="2880"/>
          </w:tcPr>
          <w:p>
            <w:r>
              <w:t>Monitoring memory_retrieval_count</w:t>
            </w:r>
          </w:p>
        </w:tc>
      </w:tr>
      <w:tr>
        <w:tc>
          <w:tcPr>
            <w:tcW w:type="dxa" w:w="2880"/>
          </w:tcPr>
          <w:p>
            <w:r>
              <w:t>Memory Bank — store</w:t>
            </w:r>
          </w:p>
        </w:tc>
        <w:tc>
          <w:tcPr>
            <w:tcW w:type="dxa" w:w="2880"/>
          </w:tcPr>
          <w:p>
            <w:r>
              <w:t>per memory / month</w:t>
            </w:r>
          </w:p>
        </w:tc>
        <w:tc>
          <w:tcPr>
            <w:tcW w:type="dxa" w:w="2880"/>
          </w:tcPr>
          <w:p>
            <w:r>
              <w:t>export-only</w:t>
            </w:r>
          </w:p>
        </w:tc>
      </w:tr>
      <w:tr>
        <w:tc>
          <w:tcPr>
            <w:tcW w:type="dxa" w:w="2880"/>
          </w:tcPr>
          <w:p>
            <w:r>
              <w:t>Sessions</w:t>
            </w:r>
          </w:p>
        </w:tc>
        <w:tc>
          <w:tcPr>
            <w:tcW w:type="dxa" w:w="2880"/>
          </w:tcPr>
          <w:p>
            <w:r>
              <w:t>per event appended</w:t>
            </w:r>
          </w:p>
        </w:tc>
        <w:tc>
          <w:tcPr>
            <w:tcW w:type="dxa" w:w="2880"/>
          </w:tcPr>
          <w:p>
            <w:r>
              <w:t>observed events (approx)</w:t>
            </w:r>
          </w:p>
        </w:tc>
      </w:tr>
    </w:tbl>
    <w:p>
      <w:pPr>
        <w:pStyle w:val="Heading1"/>
      </w:pPr>
      <w:r>
        <w:t>3. How the experiments were run</w:t>
      </w:r>
    </w:p>
    <w:p>
      <w:pPr>
        <w:pStyle w:val="ListNumber"/>
      </w:pPr>
      <w:r>
        <w:t>Deploy once to Agent Engine; Memory Bank + managed Sessions auto-wire.</w:t>
      </w:r>
    </w:p>
    <w:p>
      <w:pPr>
        <w:pStyle w:val="ListNumber"/>
      </w:pPr>
      <w:r>
        <w:t>Per run: Session A (2 fact turns) → add_session_to_memory → 20s wait → Session B (recall).</w:t>
      </w:r>
    </w:p>
    <w:p>
      <w:pPr>
        <w:pStyle w:val="ListNumber"/>
      </w:pPr>
      <w:r>
        <w:t>Capture per-run token usage instantly from usage_metadata.</w:t>
      </w:r>
    </w:p>
    <w:p>
      <w:pPr>
        <w:pStyle w:val="ListNumber"/>
      </w:pPr>
      <w:r>
        <w:t>Settle ~300s for Monitoring ingestion, then pull runtime + memory_bank metrics (60s alignment).</w:t>
      </w:r>
    </w:p>
    <w:p>
      <w:pPr>
        <w:pStyle w:val="ListNumber"/>
      </w:pPr>
      <w:r>
        <w:t>Repeat N times (EXP-005: 4 runs, fresh user each) → mean / CV% / min–max per dimension.</w:t>
      </w:r>
    </w:p>
    <w:p>
      <w:pPr>
        <w:pStyle w:val="ListNumber"/>
      </w:pPr>
      <w:r>
        <w:t>Price every captured quantity × live Billing Catalog rate.</w:t>
      </w:r>
    </w:p>
    <w:p>
      <w:r>
        <w:t>Reproduce: python scripts/exp005_variability.py --runs 4 --settle 300</w:t>
      </w:r>
    </w:p>
    <w:p>
      <w:pPr>
        <w:pStyle w:val="Heading1"/>
      </w:pPr>
      <w:r>
        <w:t>4. Typical usage &amp; variance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mean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min–max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CV%</w:t>
            </w:r>
          </w:p>
        </w:tc>
      </w:tr>
      <w:tr>
        <w:tc>
          <w:tcPr>
            <w:tcW w:type="dxa" w:w="2160"/>
          </w:tcPr>
          <w:p>
            <w:r>
              <w:t>Input tokens</w:t>
            </w:r>
          </w:p>
        </w:tc>
        <w:tc>
          <w:tcPr>
            <w:tcW w:type="dxa" w:w="2160"/>
          </w:tcPr>
          <w:p>
            <w:r>
              <w:t>3397.5</w:t>
            </w:r>
          </w:p>
        </w:tc>
        <w:tc>
          <w:tcPr>
            <w:tcW w:type="dxa" w:w="2160"/>
          </w:tcPr>
          <w:p>
            <w:r>
              <w:t>2552–4001</w:t>
            </w:r>
          </w:p>
        </w:tc>
        <w:tc>
          <w:tcPr>
            <w:tcW w:type="dxa" w:w="2160"/>
          </w:tcPr>
          <w:p>
            <w:r>
              <w:t>15.9%</w:t>
            </w:r>
          </w:p>
        </w:tc>
      </w:tr>
      <w:tr>
        <w:tc>
          <w:tcPr>
            <w:tcW w:type="dxa" w:w="2160"/>
          </w:tcPr>
          <w:p>
            <w:r>
              <w:t>Output tokens (incl. thinking)</w:t>
            </w:r>
          </w:p>
        </w:tc>
        <w:tc>
          <w:tcPr>
            <w:tcW w:type="dxa" w:w="2160"/>
          </w:tcPr>
          <w:p>
            <w:r>
              <w:t>1604.5</w:t>
            </w:r>
          </w:p>
        </w:tc>
        <w:tc>
          <w:tcPr>
            <w:tcW w:type="dxa" w:w="2160"/>
          </w:tcPr>
          <w:p>
            <w:r>
              <w:t>752–3150</w:t>
            </w:r>
          </w:p>
        </w:tc>
        <w:tc>
          <w:tcPr>
            <w:tcW w:type="dxa" w:w="2160"/>
          </w:tcPr>
          <w:p>
            <w:r>
              <w:t>57.2%</w:t>
            </w:r>
          </w:p>
        </w:tc>
      </w:tr>
      <w:tr>
        <w:tc>
          <w:tcPr>
            <w:tcW w:type="dxa" w:w="2160"/>
          </w:tcPr>
          <w:p>
            <w:r>
              <w:t>Model calls</w:t>
            </w:r>
          </w:p>
        </w:tc>
        <w:tc>
          <w:tcPr>
            <w:tcW w:type="dxa" w:w="2160"/>
          </w:tcPr>
          <w:p>
            <w:r>
              <w:t>5.75</w:t>
            </w:r>
          </w:p>
        </w:tc>
        <w:tc>
          <w:tcPr>
            <w:tcW w:type="dxa" w:w="2160"/>
          </w:tcPr>
          <w:p>
            <w:r>
              <w:t>5–6</w:t>
            </w:r>
          </w:p>
        </w:tc>
        <w:tc>
          <w:tcPr>
            <w:tcW w:type="dxa" w:w="2160"/>
          </w:tcPr>
          <w:p>
            <w:r>
              <w:t>7.5%</w:t>
            </w:r>
          </w:p>
        </w:tc>
      </w:tr>
      <w:tr>
        <w:tc>
          <w:tcPr>
            <w:tcW w:type="dxa" w:w="2160"/>
          </w:tcPr>
          <w:p>
            <w:r>
              <w:t>Session events</w:t>
            </w:r>
          </w:p>
        </w:tc>
        <w:tc>
          <w:tcPr>
            <w:tcW w:type="dxa" w:w="2160"/>
          </w:tcPr>
          <w:p>
            <w:r>
              <w:t>11.5</w:t>
            </w:r>
          </w:p>
        </w:tc>
        <w:tc>
          <w:tcPr>
            <w:tcW w:type="dxa" w:w="2160"/>
          </w:tcPr>
          <w:p>
            <w:r>
              <w:t>10–12</w:t>
            </w:r>
          </w:p>
        </w:tc>
        <w:tc>
          <w:tcPr>
            <w:tcW w:type="dxa" w:w="2160"/>
          </w:tcPr>
          <w:p>
            <w:r>
              <w:t>7.5%</w:t>
            </w:r>
          </w:p>
        </w:tc>
      </w:tr>
      <w:tr>
        <w:tc>
          <w:tcPr>
            <w:tcW w:type="dxa" w:w="2160"/>
          </w:tcPr>
          <w:p>
            <w:r>
              <w:t>Model cost ($)</w:t>
            </w:r>
          </w:p>
        </w:tc>
        <w:tc>
          <w:tcPr>
            <w:tcW w:type="dxa" w:w="2160"/>
          </w:tcPr>
          <w:p>
            <w:r>
              <w:t>0.005</w:t>
            </w:r>
          </w:p>
        </w:tc>
        <w:tc>
          <w:tcPr>
            <w:tcW w:type="dxa" w:w="2160"/>
          </w:tcPr>
          <w:p>
            <w:r>
              <w:t>0.0028856000000000003–0.0090753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</w:tr>
    </w:tbl>
    <w:p>
      <w:r>
        <w:t>Recall success rate: 100% (function reliable; cost is what varies).</w:t>
      </w:r>
    </w:p>
    <w:p>
      <w:r>
        <w:drawing>
          <wp:inline xmlns:a="http://schemas.openxmlformats.org/drawingml/2006/main" xmlns:pic="http://schemas.openxmlformats.org/drawingml/2006/picture">
            <wp:extent cx="5486400" cy="27009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v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09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270099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_run_co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09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270099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eakdow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09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Summary</w:t>
      </w:r>
    </w:p>
    <w:p>
      <w:r>
        <w:rPr>
          <w:b/>
        </w:rPr>
        <w:t>Budget ≈ $0.0134 per interaction at list price</w:t>
      </w:r>
      <w:r>
        <w:t>, but treat it as a distribution: model-token cost swings ~3.1x run-to-run (CV 48%), driven by output/thinking tokens (CV 57%). Structural usage (model calls, session events, input tokens) is stable (CV 8–16%). Runtime cost is utilization-dependent — pin a queries/hour assumption. For an SLA/quote use the p50–max range, not the mean.</w:t>
      </w:r>
    </w:p>
    <w:p>
      <w:pPr>
        <w:pStyle w:val="Heading1"/>
      </w:pPr>
      <w:r>
        <w:t>6. Caveats</w:t>
      </w:r>
    </w:p>
    <w:p>
      <w:pPr>
        <w:pStyle w:val="ListBullet"/>
      </w:pPr>
      <w:r>
        <w:t>Catalog list price, not the project's actual billed rate (needs BigQuery export).</w:t>
      </w:r>
    </w:p>
    <w:p>
      <w:pPr>
        <w:pStyle w:val="ListBullet"/>
      </w:pPr>
      <w:r>
        <w:t>Memory storage (monthly) and authoritative session-event counts are export-only.</w:t>
      </w:r>
    </w:p>
    <w:p>
      <w:pPr>
        <w:pStyle w:val="ListBullet"/>
      </w:pPr>
      <w:r>
        <w:t>Cloud Trace (enabled on deploy), Logging, GCS, egress not captured.</w:t>
      </w:r>
    </w:p>
    <w:p>
      <w:pPr>
        <w:pStyle w:val="ListBullet"/>
      </w:pPr>
      <w:r>
        <w:t>Runtime amortization depends on the measurement window's utilization.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