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CA90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color w:val="000000"/>
          <w:sz w:val="36"/>
          <w:szCs w:val="36"/>
        </w:rPr>
      </w:pPr>
      <w:r>
        <w:rPr>
          <w:rFonts w:hint="eastAsia"/>
          <w:color w:val="000000"/>
          <w:sz w:val="36"/>
          <w:szCs w:val="36"/>
          <w:lang w:val="en-US" w:eastAsia="zh-CN"/>
        </w:rPr>
        <w:t xml:space="preserve">实验四  </w:t>
      </w:r>
      <w:r>
        <w:rPr>
          <w:color w:val="000000"/>
          <w:sz w:val="36"/>
          <w:szCs w:val="36"/>
        </w:rPr>
        <w:t>基于特征的图像配准对比实验</w:t>
      </w:r>
    </w:p>
    <w:p w14:paraId="2C8176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（仿射变换 </w:t>
      </w:r>
      <w:r>
        <w:rPr>
          <w:rFonts w:hint="default"/>
          <w:color w:val="000000"/>
          <w:sz w:val="36"/>
          <w:szCs w:val="36"/>
          <w:lang w:val="en-US"/>
        </w:rPr>
        <w:t>&amp;</w:t>
      </w:r>
      <w:r>
        <w:rPr>
          <w:color w:val="000000"/>
          <w:sz w:val="36"/>
          <w:szCs w:val="36"/>
        </w:rPr>
        <w:t>二次曲面变换）</w:t>
      </w:r>
    </w:p>
    <w:p w14:paraId="039BD55B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一、实验基本信息</w:t>
      </w:r>
    </w:p>
    <w:p w14:paraId="6F14045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Style w:val="8"/>
          <w:rFonts w:ascii="Times New Roman" w:hAnsi="Times New Roman" w:eastAsia="宋体"/>
          <w:b w:val="0"/>
          <w:bCs/>
          <w:color w:val="000000"/>
          <w:sz w:val="24"/>
          <w:szCs w:val="24"/>
        </w:rPr>
        <w:t>实验名称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：仿射变换与二次曲面变换的图像配准效果对比实验</w:t>
      </w:r>
    </w:p>
    <w:p w14:paraId="1EBF449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Style w:val="8"/>
          <w:rFonts w:ascii="Times New Roman" w:hAnsi="Times New Roman" w:eastAsia="宋体"/>
          <w:b w:val="0"/>
          <w:bCs/>
          <w:color w:val="000000"/>
          <w:sz w:val="24"/>
          <w:szCs w:val="24"/>
        </w:rPr>
        <w:t>实验目的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：对比</w:t>
      </w:r>
      <w:r>
        <w:rPr>
          <w:rStyle w:val="8"/>
          <w:rFonts w:ascii="Times New Roman" w:hAnsi="Times New Roman" w:eastAsia="宋体"/>
          <w:b w:val="0"/>
          <w:bCs/>
          <w:color w:val="000000"/>
          <w:sz w:val="24"/>
          <w:szCs w:val="24"/>
        </w:rPr>
        <w:t>线性仿射变换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与</w:t>
      </w:r>
      <w:r>
        <w:rPr>
          <w:rStyle w:val="8"/>
          <w:rFonts w:ascii="Times New Roman" w:hAnsi="Times New Roman" w:eastAsia="宋体"/>
          <w:b w:val="0"/>
          <w:bCs/>
          <w:color w:val="000000"/>
          <w:sz w:val="24"/>
          <w:szCs w:val="24"/>
        </w:rPr>
        <w:t>非线性二次曲面变换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在图像配准中的精度、适用场景与效果差异，理解不同几何变换模型的优缺点</w:t>
      </w:r>
      <w:r>
        <w:rPr>
          <w:rFonts w:hint="eastAsia" w:ascii="Times New Roman" w:hAnsi="Times New Roman" w:eastAsia="宋体"/>
          <w:b w:val="0"/>
          <w:color w:val="000000"/>
          <w:sz w:val="24"/>
          <w:szCs w:val="24"/>
          <w:lang w:eastAsia="zh-CN"/>
        </w:rPr>
        <w:t>。</w:t>
      </w:r>
    </w:p>
    <w:p w14:paraId="2FD50EF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Style w:val="8"/>
          <w:rFonts w:ascii="Times New Roman" w:hAnsi="Times New Roman" w:eastAsia="宋体"/>
          <w:b w:val="0"/>
          <w:bCs/>
          <w:color w:val="000000"/>
          <w:sz w:val="24"/>
          <w:szCs w:val="24"/>
        </w:rPr>
        <w:t>实验环境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：Python + OpenCV + NumPy + Matplotlib</w:t>
      </w:r>
    </w:p>
    <w:p w14:paraId="5272281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Style w:val="8"/>
          <w:rFonts w:ascii="Times New Roman" w:hAnsi="Times New Roman" w:eastAsia="宋体"/>
          <w:b w:val="0"/>
          <w:bCs/>
          <w:color w:val="000000"/>
          <w:sz w:val="24"/>
          <w:szCs w:val="24"/>
        </w:rPr>
        <w:t>实验数据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：眼底图像</w:t>
      </w:r>
    </w:p>
    <w:p w14:paraId="56DE4D6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Style w:val="8"/>
          <w:rFonts w:ascii="Times New Roman" w:hAnsi="Times New Roman" w:eastAsia="宋体"/>
          <w:b w:val="0"/>
          <w:bCs/>
          <w:color w:val="000000"/>
          <w:sz w:val="24"/>
          <w:szCs w:val="24"/>
        </w:rPr>
        <w:t>对比</w:t>
      </w:r>
      <w:r>
        <w:rPr>
          <w:rStyle w:val="8"/>
          <w:rFonts w:hint="eastAsia" w:ascii="Times New Roman" w:hAnsi="Times New Roman" w:eastAsia="宋体"/>
          <w:b w:val="0"/>
          <w:bCs/>
          <w:color w:val="000000"/>
          <w:sz w:val="24"/>
          <w:szCs w:val="24"/>
          <w:lang w:val="en-US" w:eastAsia="zh-CN"/>
        </w:rPr>
        <w:t>内容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：</w:t>
      </w:r>
      <w:r>
        <w:rPr>
          <w:rFonts w:hint="eastAsia" w:ascii="Times New Roman" w:hAnsi="Times New Roman" w:eastAsia="宋体"/>
          <w:b w:val="0"/>
          <w:color w:val="000000"/>
          <w:sz w:val="24"/>
          <w:szCs w:val="24"/>
          <w:lang w:val="en-US" w:eastAsia="zh-CN"/>
        </w:rPr>
        <w:t>探索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配准</w:t>
      </w:r>
      <w:r>
        <w:rPr>
          <w:rFonts w:hint="eastAsia" w:ascii="Times New Roman" w:hAnsi="Times New Roman" w:eastAsia="宋体"/>
          <w:b w:val="0"/>
          <w:color w:val="000000"/>
          <w:sz w:val="24"/>
          <w:szCs w:val="24"/>
          <w:lang w:val="en-US" w:eastAsia="zh-CN"/>
        </w:rPr>
        <w:t>性能分析方式，比较两种变换模型配准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精度</w:t>
      </w:r>
      <w:r>
        <w:rPr>
          <w:rFonts w:hint="eastAsia" w:ascii="Times New Roman" w:hAnsi="Times New Roman" w:eastAsia="宋体"/>
          <w:b w:val="0"/>
          <w:color w:val="000000"/>
          <w:sz w:val="24"/>
          <w:szCs w:val="24"/>
          <w:lang w:val="en-US" w:eastAsia="zh-CN"/>
        </w:rPr>
        <w:t>的差异（思考：如何评价配准精度）。</w:t>
      </w:r>
    </w:p>
    <w:p w14:paraId="196E242E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二、实验设计思路</w:t>
      </w:r>
    </w:p>
    <w:p w14:paraId="604D255E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Style w:val="8"/>
          <w:rFonts w:hint="eastAsia" w:ascii="Times New Roman" w:hAnsi="Times New Roman" w:eastAsia="宋体"/>
          <w:b w:val="0"/>
          <w:bCs/>
          <w:color w:val="000000"/>
          <w:sz w:val="24"/>
          <w:szCs w:val="24"/>
          <w:lang w:val="en-US" w:eastAsia="zh-CN"/>
        </w:rPr>
        <w:t>实验</w:t>
      </w:r>
      <w:r>
        <w:rPr>
          <w:rStyle w:val="8"/>
          <w:rFonts w:ascii="Times New Roman" w:hAnsi="Times New Roman" w:eastAsia="宋体"/>
          <w:b w:val="0"/>
          <w:bCs/>
          <w:color w:val="000000"/>
          <w:sz w:val="24"/>
          <w:szCs w:val="24"/>
        </w:rPr>
        <w:t>流程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：两组实验保持</w:t>
      </w:r>
      <w:r>
        <w:rPr>
          <w:rStyle w:val="8"/>
          <w:rFonts w:ascii="Times New Roman" w:hAnsi="Times New Roman" w:eastAsia="宋体"/>
          <w:b w:val="0"/>
          <w:bCs/>
          <w:color w:val="000000"/>
          <w:sz w:val="24"/>
          <w:szCs w:val="24"/>
        </w:rPr>
        <w:t>特征提取（SIFT）</w:t>
      </w:r>
      <w:r>
        <w:rPr>
          <w:rStyle w:val="8"/>
          <w:rFonts w:hint="eastAsia" w:ascii="Times New Roman" w:hAnsi="Times New Roman" w:eastAsia="宋体"/>
          <w:b w:val="0"/>
          <w:bCs/>
          <w:color w:val="000000"/>
          <w:sz w:val="24"/>
          <w:szCs w:val="24"/>
          <w:lang w:eastAsia="zh-CN"/>
        </w:rPr>
        <w:t>、</w:t>
      </w:r>
      <w:r>
        <w:rPr>
          <w:rStyle w:val="8"/>
          <w:rFonts w:ascii="Times New Roman" w:hAnsi="Times New Roman" w:eastAsia="宋体"/>
          <w:b w:val="0"/>
          <w:bCs/>
          <w:color w:val="000000"/>
          <w:sz w:val="24"/>
          <w:szCs w:val="24"/>
        </w:rPr>
        <w:t xml:space="preserve"> 特征匹配</w:t>
      </w:r>
      <w:r>
        <w:rPr>
          <w:rStyle w:val="8"/>
          <w:rFonts w:hint="eastAsia" w:ascii="Times New Roman" w:hAnsi="Times New Roman" w:eastAsia="宋体"/>
          <w:b w:val="0"/>
          <w:bCs/>
          <w:color w:val="000000"/>
          <w:sz w:val="24"/>
          <w:szCs w:val="24"/>
          <w:lang w:eastAsia="zh-CN"/>
        </w:rPr>
        <w:t>、</w:t>
      </w:r>
      <w:r>
        <w:rPr>
          <w:rStyle w:val="8"/>
          <w:rFonts w:ascii="Times New Roman" w:hAnsi="Times New Roman" w:eastAsia="宋体"/>
          <w:b w:val="0"/>
          <w:bCs/>
          <w:color w:val="000000"/>
          <w:sz w:val="24"/>
          <w:szCs w:val="24"/>
        </w:rPr>
        <w:t xml:space="preserve"> RANSAC 剔除误匹配</w:t>
      </w:r>
      <w:r>
        <w:rPr>
          <w:rStyle w:val="8"/>
          <w:rFonts w:hint="eastAsia" w:ascii="Times New Roman" w:hAnsi="Times New Roman" w:eastAsia="宋体"/>
          <w:b w:val="0"/>
          <w:bCs/>
          <w:color w:val="000000"/>
          <w:sz w:val="24"/>
          <w:szCs w:val="24"/>
          <w:lang w:eastAsia="zh-CN"/>
        </w:rPr>
        <w:t>（</w:t>
      </w:r>
      <w:r>
        <w:rPr>
          <w:rStyle w:val="8"/>
          <w:rFonts w:hint="eastAsia" w:ascii="Times New Roman" w:hAnsi="Times New Roman" w:eastAsia="宋体"/>
          <w:b w:val="0"/>
          <w:bCs/>
          <w:color w:val="000000"/>
          <w:sz w:val="24"/>
          <w:szCs w:val="24"/>
          <w:lang w:val="en-US" w:eastAsia="zh-CN"/>
        </w:rPr>
        <w:t>计算变换矩阵</w:t>
      </w:r>
      <w:r>
        <w:rPr>
          <w:rStyle w:val="8"/>
          <w:rFonts w:hint="eastAsia" w:ascii="Times New Roman" w:hAnsi="Times New Roman" w:eastAsia="宋体"/>
          <w:b w:val="0"/>
          <w:bCs/>
          <w:color w:val="000000"/>
          <w:sz w:val="24"/>
          <w:szCs w:val="24"/>
          <w:lang w:eastAsia="zh-CN"/>
        </w:rPr>
        <w:t>）</w:t>
      </w:r>
      <w:r>
        <w:rPr>
          <w:rStyle w:val="8"/>
          <w:rFonts w:ascii="Times New Roman" w:hAnsi="Times New Roman" w:eastAsia="宋体"/>
          <w:b w:val="0"/>
          <w:bCs/>
          <w:color w:val="000000"/>
          <w:sz w:val="24"/>
          <w:szCs w:val="24"/>
        </w:rPr>
        <w:t xml:space="preserve"> </w:t>
      </w:r>
      <w:r>
        <w:rPr>
          <w:rStyle w:val="8"/>
          <w:rFonts w:hint="eastAsia" w:ascii="Times New Roman" w:hAnsi="Times New Roman" w:eastAsia="宋体"/>
          <w:b w:val="0"/>
          <w:bCs/>
          <w:color w:val="000000"/>
          <w:sz w:val="24"/>
          <w:szCs w:val="24"/>
          <w:lang w:eastAsia="zh-CN"/>
        </w:rPr>
        <w:t>、</w:t>
      </w:r>
      <w:r>
        <w:rPr>
          <w:rStyle w:val="8"/>
          <w:rFonts w:ascii="Times New Roman" w:hAnsi="Times New Roman" w:eastAsia="宋体"/>
          <w:b w:val="0"/>
          <w:bCs/>
          <w:color w:val="000000"/>
          <w:sz w:val="24"/>
          <w:szCs w:val="24"/>
        </w:rPr>
        <w:t>图像配准</w:t>
      </w:r>
      <w:r>
        <w:rPr>
          <w:rStyle w:val="8"/>
          <w:rFonts w:hint="eastAsia" w:ascii="Times New Roman" w:hAnsi="Times New Roman" w:eastAsia="宋体"/>
          <w:b w:val="0"/>
          <w:bCs/>
          <w:color w:val="000000"/>
          <w:sz w:val="24"/>
          <w:szCs w:val="24"/>
          <w:lang w:eastAsia="zh-CN"/>
        </w:rPr>
        <w:t>、</w:t>
      </w:r>
      <w:r>
        <w:rPr>
          <w:rStyle w:val="8"/>
          <w:rFonts w:ascii="Times New Roman" w:hAnsi="Times New Roman" w:eastAsia="宋体"/>
          <w:b w:val="0"/>
          <w:bCs/>
          <w:color w:val="000000"/>
          <w:sz w:val="24"/>
          <w:szCs w:val="24"/>
        </w:rPr>
        <w:t>评价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。</w:t>
      </w:r>
    </w:p>
    <w:p w14:paraId="73802695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Style w:val="8"/>
          <w:rFonts w:hint="eastAsia" w:ascii="Times New Roman" w:hAnsi="Times New Roman" w:eastAsia="宋体"/>
          <w:b w:val="0"/>
          <w:bCs/>
          <w:color w:val="000000"/>
          <w:sz w:val="24"/>
          <w:szCs w:val="24"/>
          <w:lang w:val="en-US" w:eastAsia="zh-CN"/>
        </w:rPr>
        <w:t>对比实验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：改变</w:t>
      </w:r>
      <w:r>
        <w:rPr>
          <w:rStyle w:val="8"/>
          <w:rFonts w:ascii="Times New Roman" w:hAnsi="Times New Roman" w:eastAsia="宋体"/>
          <w:b w:val="0"/>
          <w:bCs/>
          <w:color w:val="000000"/>
          <w:sz w:val="24"/>
          <w:szCs w:val="24"/>
        </w:rPr>
        <w:t>变换模型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（仿射变换 / 二次曲面变换），其他参数（SIFT 阈值、比率阈值、RANSAC 参数）保持相同。</w:t>
      </w:r>
    </w:p>
    <w:p w14:paraId="5A32CD74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Style w:val="8"/>
          <w:rFonts w:hint="eastAsia" w:ascii="Times New Roman" w:hAnsi="Times New Roman" w:eastAsia="宋体"/>
          <w:b w:val="0"/>
          <w:bCs/>
          <w:color w:val="000000"/>
          <w:sz w:val="24"/>
          <w:szCs w:val="24"/>
          <w:lang w:val="en-US" w:eastAsia="zh-CN"/>
        </w:rPr>
        <w:t>附加实验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：</w:t>
      </w:r>
      <w:r>
        <w:rPr>
          <w:rFonts w:hint="eastAsia" w:ascii="Times New Roman" w:hAnsi="Times New Roman" w:eastAsia="宋体"/>
          <w:b w:val="0"/>
          <w:color w:val="000000"/>
          <w:sz w:val="24"/>
          <w:szCs w:val="24"/>
          <w:lang w:val="en-US" w:eastAsia="zh-CN"/>
        </w:rPr>
        <w:t>探索代替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RANSAC</w:t>
      </w:r>
      <w:r>
        <w:rPr>
          <w:rFonts w:hint="eastAsia" w:ascii="Times New Roman" w:hAnsi="Times New Roman" w:eastAsia="宋体"/>
          <w:b w:val="0"/>
          <w:color w:val="000000"/>
          <w:sz w:val="24"/>
          <w:szCs w:val="24"/>
          <w:lang w:val="en-US" w:eastAsia="zh-CN"/>
        </w:rPr>
        <w:t>算法的其他算法计算变换矩阵，去除误匹配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。</w:t>
      </w:r>
      <w:r>
        <w:rPr>
          <w:rFonts w:hint="eastAsia" w:ascii="Times New Roman" w:hAnsi="Times New Roman" w:eastAsia="宋体"/>
          <w:b w:val="0"/>
          <w:color w:val="000000"/>
          <w:sz w:val="24"/>
          <w:szCs w:val="24"/>
          <w:lang w:eastAsia="zh-CN"/>
        </w:rPr>
        <w:t>（可选）</w:t>
      </w:r>
    </w:p>
    <w:p w14:paraId="25F59A14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三、实验步骤</w:t>
      </w:r>
    </w:p>
    <w:p w14:paraId="3E1BA21D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Style w:val="8"/>
          <w:rFonts w:ascii="Times New Roman" w:hAnsi="Times New Roman" w:eastAsia="宋体"/>
          <w:b w:val="0"/>
          <w:bCs/>
          <w:color w:val="000000"/>
          <w:sz w:val="24"/>
          <w:szCs w:val="24"/>
        </w:rPr>
        <w:t>图像读取与预处理</w:t>
      </w:r>
      <w:r>
        <w:rPr>
          <w:rStyle w:val="8"/>
          <w:rFonts w:hint="eastAsia" w:ascii="Times New Roman" w:hAnsi="Times New Roman" w:eastAsia="宋体"/>
          <w:b w:val="0"/>
          <w:bCs/>
          <w:color w:val="000000"/>
          <w:sz w:val="24"/>
          <w:szCs w:val="24"/>
          <w:lang w:eastAsia="zh-CN"/>
        </w:rPr>
        <w:t>：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加载参考图像、待配准图像</w:t>
      </w:r>
      <w:r>
        <w:rPr>
          <w:rFonts w:hint="eastAsia" w:ascii="Times New Roman" w:hAnsi="Times New Roman" w:eastAsia="宋体"/>
          <w:b w:val="0"/>
          <w:color w:val="000000"/>
          <w:sz w:val="24"/>
          <w:szCs w:val="24"/>
          <w:lang w:val="en-US" w:eastAsia="zh-CN"/>
        </w:rPr>
        <w:t>;</w:t>
      </w:r>
    </w:p>
    <w:p w14:paraId="5D762E84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Style w:val="8"/>
          <w:rFonts w:ascii="Times New Roman" w:hAnsi="Times New Roman" w:eastAsia="宋体"/>
          <w:b w:val="0"/>
          <w:bCs/>
          <w:color w:val="000000"/>
          <w:sz w:val="24"/>
          <w:szCs w:val="24"/>
        </w:rPr>
        <w:t>SIFT 特征提取</w:t>
      </w:r>
      <w:r>
        <w:rPr>
          <w:rStyle w:val="8"/>
          <w:rFonts w:hint="eastAsia" w:ascii="Times New Roman" w:hAnsi="Times New Roman" w:eastAsia="宋体"/>
          <w:b w:val="0"/>
          <w:bCs/>
          <w:color w:val="000000"/>
          <w:sz w:val="24"/>
          <w:szCs w:val="24"/>
          <w:lang w:eastAsia="zh-CN"/>
        </w:rPr>
        <w:t>：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检测特征点，生成 128 维描述子，统计特征点数量</w:t>
      </w:r>
      <w:r>
        <w:rPr>
          <w:rFonts w:hint="eastAsia" w:ascii="Times New Roman" w:hAnsi="Times New Roman" w:eastAsia="宋体"/>
          <w:b w:val="0"/>
          <w:color w:val="000000"/>
          <w:sz w:val="24"/>
          <w:szCs w:val="24"/>
          <w:lang w:val="en-US" w:eastAsia="zh-CN"/>
        </w:rPr>
        <w:t>;</w:t>
      </w:r>
    </w:p>
    <w:p w14:paraId="2C032963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Style w:val="8"/>
          <w:rFonts w:ascii="Times New Roman" w:hAnsi="Times New Roman" w:eastAsia="宋体"/>
          <w:b w:val="0"/>
          <w:bCs/>
          <w:color w:val="000000"/>
          <w:sz w:val="24"/>
          <w:szCs w:val="24"/>
        </w:rPr>
        <w:t>特征匹配与粗筛选</w:t>
      </w:r>
      <w:r>
        <w:rPr>
          <w:rStyle w:val="8"/>
          <w:rFonts w:hint="eastAsia" w:ascii="Times New Roman" w:hAnsi="Times New Roman" w:eastAsia="宋体"/>
          <w:b w:val="0"/>
          <w:bCs/>
          <w:color w:val="000000"/>
          <w:sz w:val="24"/>
          <w:szCs w:val="24"/>
          <w:lang w:eastAsia="zh-CN"/>
        </w:rPr>
        <w:t>：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BF+KNN 匹配，筛选优质匹配</w:t>
      </w:r>
      <w:r>
        <w:rPr>
          <w:rFonts w:hint="eastAsia" w:ascii="Times New Roman" w:hAnsi="Times New Roman" w:eastAsia="宋体"/>
          <w:b w:val="0"/>
          <w:color w:val="000000"/>
          <w:sz w:val="24"/>
          <w:szCs w:val="24"/>
          <w:lang w:val="en-US" w:eastAsia="zh-CN"/>
        </w:rPr>
        <w:t>;</w:t>
      </w:r>
    </w:p>
    <w:p w14:paraId="21A3C87F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Style w:val="8"/>
          <w:rFonts w:ascii="Times New Roman" w:hAnsi="Times New Roman" w:eastAsia="宋体"/>
          <w:b w:val="0"/>
          <w:bCs/>
          <w:color w:val="000000"/>
          <w:sz w:val="24"/>
          <w:szCs w:val="24"/>
        </w:rPr>
        <w:t>RANSAC 鲁棒估计</w:t>
      </w:r>
      <w:r>
        <w:rPr>
          <w:rStyle w:val="8"/>
          <w:rFonts w:hint="eastAsia" w:ascii="Times New Roman" w:hAnsi="Times New Roman" w:eastAsia="宋体"/>
          <w:b w:val="0"/>
          <w:bCs/>
          <w:color w:val="000000"/>
          <w:sz w:val="24"/>
          <w:szCs w:val="24"/>
          <w:lang w:eastAsia="zh-CN"/>
        </w:rPr>
        <w:t>：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分别拟合</w:t>
      </w:r>
      <w:r>
        <w:rPr>
          <w:rStyle w:val="8"/>
          <w:rFonts w:ascii="Times New Roman" w:hAnsi="Times New Roman" w:eastAsia="宋体"/>
          <w:b w:val="0"/>
          <w:bCs/>
          <w:color w:val="000000"/>
          <w:sz w:val="24"/>
          <w:szCs w:val="24"/>
        </w:rPr>
        <w:t>仿射矩阵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、</w:t>
      </w:r>
      <w:r>
        <w:rPr>
          <w:rStyle w:val="8"/>
          <w:rFonts w:ascii="Times New Roman" w:hAnsi="Times New Roman" w:eastAsia="宋体"/>
          <w:b w:val="0"/>
          <w:bCs/>
          <w:color w:val="000000"/>
          <w:sz w:val="24"/>
          <w:szCs w:val="24"/>
        </w:rPr>
        <w:t>二次曲面系数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，剔除外点</w:t>
      </w:r>
      <w:r>
        <w:rPr>
          <w:rFonts w:hint="eastAsia" w:ascii="Times New Roman" w:hAnsi="Times New Roman" w:eastAsia="宋体"/>
          <w:b w:val="0"/>
          <w:color w:val="000000"/>
          <w:sz w:val="24"/>
          <w:szCs w:val="24"/>
          <w:lang w:val="en-US" w:eastAsia="zh-CN"/>
        </w:rPr>
        <w:t>;</w:t>
      </w:r>
    </w:p>
    <w:p w14:paraId="04DEF86E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Style w:val="8"/>
          <w:rFonts w:ascii="Times New Roman" w:hAnsi="Times New Roman" w:eastAsia="宋体"/>
          <w:b w:val="0"/>
          <w:bCs/>
          <w:color w:val="000000"/>
          <w:sz w:val="24"/>
          <w:szCs w:val="24"/>
        </w:rPr>
        <w:t>图像配准与自适应画布</w:t>
      </w:r>
      <w:r>
        <w:rPr>
          <w:rStyle w:val="8"/>
          <w:rFonts w:hint="eastAsia" w:ascii="Times New Roman" w:hAnsi="Times New Roman" w:eastAsia="宋体"/>
          <w:b w:val="0"/>
          <w:bCs/>
          <w:color w:val="000000"/>
          <w:sz w:val="24"/>
          <w:szCs w:val="24"/>
          <w:lang w:eastAsia="zh-CN"/>
        </w:rPr>
        <w:t>：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反向映射变换，避免图像裁剪</w:t>
      </w:r>
      <w:r>
        <w:rPr>
          <w:rFonts w:hint="eastAsia" w:ascii="Times New Roman" w:hAnsi="Times New Roman" w:eastAsia="宋体"/>
          <w:b w:val="0"/>
          <w:color w:val="000000"/>
          <w:sz w:val="24"/>
          <w:szCs w:val="24"/>
          <w:lang w:eastAsia="zh-CN"/>
        </w:rPr>
        <w:t>；</w:t>
      </w:r>
    </w:p>
    <w:p w14:paraId="181FC06B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Style w:val="8"/>
          <w:rFonts w:ascii="Times New Roman" w:hAnsi="Times New Roman" w:eastAsia="宋体"/>
          <w:b w:val="0"/>
          <w:bCs/>
          <w:color w:val="000000"/>
          <w:sz w:val="24"/>
          <w:szCs w:val="24"/>
        </w:rPr>
        <w:t>结果可视化与量化对比</w:t>
      </w:r>
      <w:r>
        <w:rPr>
          <w:rStyle w:val="8"/>
          <w:rFonts w:hint="eastAsia" w:ascii="Times New Roman" w:hAnsi="Times New Roman" w:eastAsia="宋体"/>
          <w:b w:val="0"/>
          <w:bCs/>
          <w:color w:val="000000"/>
          <w:sz w:val="24"/>
          <w:szCs w:val="24"/>
          <w:lang w:eastAsia="zh-CN"/>
        </w:rPr>
        <w:t>：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匹配点、配准图、</w:t>
      </w:r>
      <w:r>
        <w:rPr>
          <w:rFonts w:hint="eastAsia" w:ascii="Times New Roman" w:hAnsi="Times New Roman" w:eastAsia="宋体"/>
          <w:b w:val="0"/>
          <w:color w:val="000000"/>
          <w:sz w:val="24"/>
          <w:szCs w:val="24"/>
          <w:lang w:eastAsia="zh-CN"/>
        </w:rPr>
        <w:t>叠加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图、差异图、棋盘格图</w:t>
      </w:r>
    </w:p>
    <w:p w14:paraId="1715AA9A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textAlignment w:val="auto"/>
        <w:rPr>
          <w:rFonts w:hint="default" w:eastAsia="宋体"/>
          <w:lang w:val="en-US" w:eastAsia="zh-CN"/>
        </w:rPr>
      </w:pPr>
      <w:r>
        <w:rPr>
          <w:rStyle w:val="8"/>
          <w:rFonts w:ascii="Times New Roman" w:hAnsi="Times New Roman" w:eastAsia="宋体"/>
          <w:b w:val="0"/>
          <w:bCs/>
          <w:color w:val="000000"/>
          <w:sz w:val="24"/>
          <w:szCs w:val="24"/>
        </w:rPr>
        <w:t>指标评价</w:t>
      </w:r>
      <w:r>
        <w:rPr>
          <w:rStyle w:val="8"/>
          <w:rFonts w:hint="eastAsia" w:ascii="Times New Roman" w:hAnsi="Times New Roman" w:eastAsia="宋体"/>
          <w:b w:val="0"/>
          <w:bCs/>
          <w:color w:val="000000"/>
          <w:sz w:val="24"/>
          <w:szCs w:val="24"/>
          <w:lang w:eastAsia="zh-CN"/>
        </w:rPr>
        <w:t>：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内点率、重投影误差、对齐效果、结构重合度</w:t>
      </w:r>
      <w:r>
        <w:rPr>
          <w:rFonts w:hint="eastAsia" w:ascii="Times New Roman" w:hAnsi="Times New Roman" w:eastAsia="宋体"/>
          <w:b w:val="0"/>
          <w:color w:val="000000"/>
          <w:sz w:val="24"/>
          <w:szCs w:val="24"/>
          <w:lang w:val="en-US" w:eastAsia="zh-CN"/>
        </w:rPr>
        <w:t>;</w:t>
      </w:r>
    </w:p>
    <w:p w14:paraId="43CCE457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实验结果标题中显示“学号+姓名”，如平移变换结果+fanfan+012345；</w:t>
      </w:r>
    </w:p>
    <w:p w14:paraId="0D46EDC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200" w:right="0" w:rightChars="0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</w:p>
    <w:p w14:paraId="793970F2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四、实验结果</w:t>
      </w:r>
    </w:p>
    <w:p w14:paraId="4E75CD78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Style w:val="8"/>
          <w:rFonts w:ascii="Times New Roman" w:hAnsi="Times New Roman" w:eastAsia="宋体"/>
          <w:b w:val="0"/>
          <w:bCs/>
          <w:color w:val="000000"/>
          <w:sz w:val="24"/>
          <w:szCs w:val="24"/>
        </w:rPr>
        <w:t>眼底图像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：</w:t>
      </w:r>
      <w:r>
        <w:rPr>
          <w:rStyle w:val="8"/>
          <w:rFonts w:ascii="Times New Roman" w:hAnsi="Times New Roman" w:eastAsia="宋体"/>
          <w:b w:val="0"/>
          <w:bCs/>
          <w:color w:val="000000"/>
          <w:sz w:val="24"/>
          <w:szCs w:val="24"/>
        </w:rPr>
        <w:t>二</w:t>
      </w:r>
      <w:r>
        <w:rPr>
          <w:rStyle w:val="8"/>
          <w:rFonts w:hint="eastAsia" w:ascii="Times New Roman" w:hAnsi="Times New Roman" w:eastAsia="宋体"/>
          <w:b w:val="0"/>
          <w:bCs/>
          <w:color w:val="000000"/>
          <w:sz w:val="24"/>
          <w:szCs w:val="24"/>
          <w:lang w:val="en-US" w:eastAsia="zh-CN"/>
        </w:rPr>
        <w:t>验证是否</w:t>
      </w:r>
      <w:r>
        <w:rPr>
          <w:rStyle w:val="8"/>
          <w:rFonts w:ascii="Times New Roman" w:hAnsi="Times New Roman" w:eastAsia="宋体"/>
          <w:b w:val="0"/>
          <w:bCs/>
          <w:color w:val="000000"/>
          <w:sz w:val="24"/>
          <w:szCs w:val="24"/>
        </w:rPr>
        <w:t>次曲面显著优于仿射</w:t>
      </w:r>
      <w:r>
        <w:rPr>
          <w:rFonts w:ascii="Times New Roman" w:hAnsi="Times New Roman" w:eastAsia="宋体"/>
          <w:b w:val="0"/>
          <w:color w:val="000000"/>
          <w:sz w:val="24"/>
          <w:szCs w:val="24"/>
        </w:rPr>
        <w:t>，仿射无法校正曲面畸变，二次曲面可实现血管精准重合。</w:t>
      </w:r>
    </w:p>
    <w:p w14:paraId="3CA8813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textAlignment w:val="auto"/>
      </w:pPr>
      <w:r>
        <w:drawing>
          <wp:inline distT="0" distB="0" distL="114300" distR="114300">
            <wp:extent cx="3869690" cy="2391410"/>
            <wp:effectExtent l="0" t="0" r="381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9690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5C0C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textAlignment w:val="auto"/>
      </w:pPr>
      <w:r>
        <w:drawing>
          <wp:inline distT="0" distB="0" distL="114300" distR="114300">
            <wp:extent cx="5271770" cy="3025140"/>
            <wp:effectExtent l="0" t="0" r="1143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8A20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一共分析以下图片：</w:t>
      </w:r>
      <w:bookmarkStart w:id="0" w:name="_GoBack"/>
      <w:bookmarkEnd w:id="0"/>
    </w:p>
    <w:p w14:paraId="317AE35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3649345"/>
            <wp:effectExtent l="0" t="0" r="10160" b="825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107C8">
      <w:pPr>
        <w:pStyle w:val="5"/>
        <w:bidi w:val="0"/>
        <w:rPr>
          <w:rFonts w:hint="eastAsia" w:ascii="Arial" w:hAnsi="Arial"/>
          <w:b/>
          <w:lang w:eastAsia="zh-CN"/>
        </w:rPr>
      </w:pPr>
      <w:r>
        <w:rPr>
          <w:rFonts w:hint="eastAsia" w:ascii="Arial" w:hAnsi="Arial"/>
          <w:b/>
          <w:lang w:eastAsia="zh-CN"/>
        </w:rPr>
        <w:t>（1）特征匹配结果图</w:t>
      </w:r>
    </w:p>
    <w:p w14:paraId="160F0F8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从本次特征匹配结果可以看出，图像中有效匹配点主要分布在眼底结构区域，能够较好地对应基准图像与待配准图像之间的关键结构位置，为后续变换矩阵的计算提供了较为可靠的特征基础，同时也反映出图像在纹理、结构方面具备良好的对应关系，为整体配准流程奠定了基础。</w:t>
      </w:r>
    </w:p>
    <w:p w14:paraId="7D393179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2245" cy="2150110"/>
            <wp:effectExtent l="0" t="0" r="8255" b="8890"/>
            <wp:docPr id="3" name="图片 3" descr="特征匹配结果_陈金华_3237623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特征匹配结果_陈金华_323762306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F017">
      <w:pPr>
        <w:pStyle w:val="5"/>
        <w:bidi w:val="0"/>
        <w:rPr>
          <w:rFonts w:hint="eastAsia" w:ascii="Arial" w:hAnsi="Arial"/>
          <w:b/>
          <w:lang w:eastAsia="zh-CN"/>
        </w:rPr>
      </w:pPr>
      <w:r>
        <w:rPr>
          <w:rFonts w:hint="eastAsia" w:ascii="Arial" w:hAnsi="Arial"/>
          <w:b/>
          <w:lang w:eastAsia="zh-CN"/>
        </w:rPr>
        <w:t>（2）仿射变换结果图</w:t>
      </w:r>
    </w:p>
    <w:p w14:paraId="2B1604C3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从仿射变换后的结果图像可以看出，经过线性变换后，图像整体实现了初步的对齐效果，图像主体区域能够大致处于同一视野范围内，但受限于仿射变换本身的线性模型特性，图像在局部结构、边缘区域以及细节位置仍存在一定程度的错位与偏差，无法实现精准对齐，整体对齐效果较为有限。</w:t>
      </w:r>
    </w:p>
    <w:p w14:paraId="549F4F7A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6690" cy="3497580"/>
            <wp:effectExtent l="0" t="0" r="3810" b="7620"/>
            <wp:docPr id="13" name="图片 13" descr="二次曲面变换结果_陈金华_3237623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二次曲面变换结果_陈金华_32376230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CD882">
      <w:pPr>
        <w:pStyle w:val="5"/>
        <w:bidi w:val="0"/>
        <w:rPr>
          <w:rFonts w:hint="eastAsia" w:ascii="Arial" w:hAnsi="Arial"/>
          <w:b/>
          <w:lang w:eastAsia="zh-CN"/>
        </w:rPr>
      </w:pPr>
      <w:r>
        <w:rPr>
          <w:rFonts w:hint="eastAsia" w:ascii="Arial" w:hAnsi="Arial"/>
          <w:b/>
          <w:lang w:eastAsia="zh-CN"/>
        </w:rPr>
        <w:t>（3）二次曲面变换结果图</w:t>
      </w:r>
    </w:p>
    <w:p w14:paraId="417AF558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从二次曲面变换后的结果图像可以看出，经过非线性变换后，图像不仅在整体视野上实现了完整对齐，同时在局部结构、边缘轮廓以及细节位置均实现了高度贴合，图像之间的对应关系更加精准、稳定，能够有效适配眼底图像存在的非线性畸变，整体配准效果显著优于仿射变换。</w:t>
      </w:r>
    </w:p>
    <w:p w14:paraId="410246C9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6690" cy="3497580"/>
            <wp:effectExtent l="0" t="0" r="3810" b="7620"/>
            <wp:docPr id="8" name="图片 8" descr="仿射变换结果_陈金华_3237623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仿射变换结果_陈金华_323762306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B6117">
      <w:pPr>
        <w:pStyle w:val="5"/>
        <w:bidi w:val="0"/>
        <w:rPr>
          <w:rFonts w:hint="eastAsia" w:ascii="Arial" w:hAnsi="Arial"/>
          <w:b/>
          <w:lang w:eastAsia="zh-CN"/>
        </w:rPr>
      </w:pPr>
      <w:r>
        <w:rPr>
          <w:rFonts w:hint="eastAsia" w:ascii="Arial" w:hAnsi="Arial"/>
          <w:b/>
          <w:lang w:eastAsia="zh-CN"/>
        </w:rPr>
        <w:t>（4）仿射变换融合图</w:t>
      </w:r>
    </w:p>
    <w:p w14:paraId="1A2F0456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从仿射变换融合后的结果图像可以看出，基准图像与待配准图像在融合后呈现出较为明显的错位与偏差，整体重合度较低，仅在中心区域存在部分重合，边缘区域与细节位置重合效果较差，无法满足精准配准的要求，反映出仿射变换在处理非线性畸变时存在明显局限性。</w:t>
      </w:r>
    </w:p>
    <w:p w14:paraId="0198C2B1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6690" cy="3497580"/>
            <wp:effectExtent l="0" t="0" r="3810" b="7620"/>
            <wp:docPr id="10" name="图片 10" descr="二次曲面融合对比_陈金华_3237623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二次曲面融合对比_陈金华_323762306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AF5E">
      <w:pPr>
        <w:pStyle w:val="5"/>
        <w:bidi w:val="0"/>
        <w:rPr>
          <w:rFonts w:hint="eastAsia" w:ascii="Arial" w:hAnsi="Arial"/>
          <w:b/>
          <w:lang w:eastAsia="zh-CN"/>
        </w:rPr>
      </w:pPr>
      <w:r>
        <w:rPr>
          <w:rFonts w:hint="eastAsia" w:ascii="Arial" w:hAnsi="Arial"/>
          <w:b/>
          <w:lang w:eastAsia="zh-CN"/>
        </w:rPr>
        <w:t>（5）二次曲面变换融合图</w:t>
      </w:r>
    </w:p>
    <w:p w14:paraId="02D6A539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从二次曲面变换融合后的结果图像可以看出，基准图像与待配准图像在融合后呈现出高度重合的效果，整体对齐均匀、稳定，中心区域与边缘区域均实现了良好的对应关系，细节位置无明显错位与偏差，整体配准效果满足精准要求，能够有效适配眼底图像的非线性畸变特性。</w:t>
      </w:r>
    </w:p>
    <w:p w14:paraId="52887166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6690" cy="3497580"/>
            <wp:effectExtent l="0" t="0" r="3810" b="7620"/>
            <wp:docPr id="5" name="图片 5" descr="仿射融合对比_陈金华_3237623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仿射融合对比_陈金华_323762306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0529">
      <w:pPr>
        <w:pStyle w:val="5"/>
        <w:bidi w:val="0"/>
        <w:rPr>
          <w:rFonts w:hint="eastAsia" w:ascii="Arial" w:hAnsi="Arial"/>
          <w:b/>
          <w:lang w:eastAsia="zh-CN"/>
        </w:rPr>
      </w:pPr>
      <w:r>
        <w:rPr>
          <w:rFonts w:hint="eastAsia" w:ascii="Arial" w:hAnsi="Arial"/>
          <w:b/>
          <w:lang w:eastAsia="zh-CN"/>
        </w:rPr>
        <w:t>（6）仿射变换棋盘格图</w:t>
      </w:r>
    </w:p>
    <w:p w14:paraId="3294D660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从仿射变换棋盘格结果图像可以看出，经过仿射变换后，棋盘格网格在图像局部区域出现明显的断裂、错位与不连续现象，网格线条无法保持平滑过渡，整体一致性较差，反映出仿射变换在局部细节对齐方面存在明显不足。</w:t>
      </w:r>
      <w:r>
        <w:rPr>
          <w:rFonts w:hint="eastAsia"/>
          <w:lang w:eastAsia="zh-CN"/>
        </w:rPr>
        <w:br w:type="textWrapping"/>
      </w:r>
      <w:r>
        <w:rPr>
          <w:rFonts w:hint="eastAsia"/>
          <w:lang w:eastAsia="zh-CN"/>
        </w:rPr>
        <w:drawing>
          <wp:inline distT="0" distB="0" distL="114300" distR="114300">
            <wp:extent cx="5266690" cy="3497580"/>
            <wp:effectExtent l="0" t="0" r="3810" b="7620"/>
            <wp:docPr id="11" name="图片 11" descr="二次曲面棋盘格对比_陈金华_3237623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二次曲面棋盘格对比_陈金华_323762306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A9B23">
      <w:pPr>
        <w:pStyle w:val="5"/>
        <w:bidi w:val="0"/>
        <w:rPr>
          <w:rFonts w:hint="eastAsia" w:ascii="Arial" w:hAnsi="Arial"/>
          <w:b/>
          <w:lang w:eastAsia="zh-CN"/>
        </w:rPr>
      </w:pPr>
      <w:r>
        <w:rPr>
          <w:rFonts w:hint="eastAsia" w:ascii="Arial" w:hAnsi="Arial"/>
          <w:b/>
          <w:lang w:eastAsia="zh-CN"/>
        </w:rPr>
        <w:t>（7）二次曲面变换棋盘格图</w:t>
      </w:r>
    </w:p>
    <w:p w14:paraId="117A0FBA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从二次曲面变换棋盘格结果图像可以看出，经过二次曲面变换后，棋盘格网格在图像整体区域保持连续、平滑与完整，网格线条过渡均匀自然，无明显断裂、错位与不连续现象，整体一致性良好，反映出二次曲面变换在局部细节对齐方面具备显著优势。</w:t>
      </w:r>
    </w:p>
    <w:p w14:paraId="3665712D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6690" cy="3497580"/>
            <wp:effectExtent l="0" t="0" r="3810" b="7620"/>
            <wp:docPr id="6" name="图片 6" descr="仿射棋盘格对比_陈金华_3237623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仿射棋盘格对比_陈金华_323762306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9B8B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棋盘格图能直接检查局部拼接边界是否连续：</w:t>
      </w:r>
    </w:p>
    <w:p w14:paraId="44FE2ABF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仿射棋盘格在若干格块边界处出现血管不连续、纹理跳变，说明局部仍有几何偏差。</w:t>
      </w:r>
    </w:p>
    <w:p w14:paraId="7309E9ED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二次曲面棋盘格边界更平滑，结构跨格块连续性更好，局部错位程度更低。 棋盘格结果进一步验证：单应性在局部对齐一致性方面更优。</w:t>
      </w:r>
    </w:p>
    <w:p w14:paraId="504855FB">
      <w:pPr>
        <w:pStyle w:val="5"/>
        <w:bidi w:val="0"/>
        <w:rPr>
          <w:rFonts w:hint="eastAsia"/>
          <w:lang w:eastAsia="zh-CN"/>
        </w:rPr>
      </w:pPr>
      <w:r>
        <w:rPr>
          <w:rFonts w:hint="eastAsia" w:ascii="Arial" w:hAnsi="Arial"/>
          <w:b/>
          <w:lang w:eastAsia="zh-CN"/>
        </w:rPr>
        <w:t>（8）仿射变换差异图</w:t>
      </w:r>
    </w:p>
    <w:p w14:paraId="612A4E51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从仿射变换差异结果图像可以看出，经过仿射变换后，图像之间存在较为明显的差异区域，差异分布广泛且不均匀，整体差异程度较高，无法实现有效对齐，反映出仿射变换在处理眼底图像配准时存在明显局限性。</w:t>
      </w:r>
    </w:p>
    <w:p w14:paraId="56574346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6690" cy="3497580"/>
            <wp:effectExtent l="0" t="0" r="3810" b="7620"/>
            <wp:docPr id="12" name="图片 12" descr="二次曲面差异图_陈金华_3237623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二次曲面差异图_陈金华_323762306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1EBFE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（9）二次曲面变换差异图</w:t>
      </w:r>
    </w:p>
    <w:p w14:paraId="648E0B06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从二次曲面变换差异结果图像可以看出，经过二次曲面变换后，图像之间差异区域明显减少，差异分布均匀且整体差异程度较低，仅在边缘区域存在少量微弱差异，整体对齐效果良好，能够有效满足眼底图像配准的精度要求。</w:t>
      </w:r>
    </w:p>
    <w:p w14:paraId="460FB30B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6690" cy="3497580"/>
            <wp:effectExtent l="0" t="0" r="3810" b="7620"/>
            <wp:docPr id="7" name="图片 7" descr="仿射差异图_陈金华_3237623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仿射差异图_陈金华_323762306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8490F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差异图反映像素级残差强弱：</w:t>
      </w:r>
    </w:p>
    <w:p w14:paraId="3C4A6429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仿射差异图在大范围血管纹理处残差较明显，表明局部结构未完全重合。</w:t>
      </w:r>
    </w:p>
    <w:p w14:paraId="55F99A4B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二次曲面差异图残差整体更弱，主要集中在亮斑与边缘区域，说明其“全局对齐 + 局部保真”效果更好。 差异图与误差图趋势一致，互相印证结果可信。</w:t>
      </w:r>
    </w:p>
    <w:p w14:paraId="058999F0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10）误差热力图</w:t>
      </w:r>
    </w:p>
    <w:p w14:paraId="2F093876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6690" cy="3497580"/>
            <wp:effectExtent l="0" t="0" r="3810" b="7620"/>
            <wp:docPr id="9" name="图片 9" descr="二次曲面误差图_陈金华_3237623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二次曲面误差图_陈金华_323762306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66690" cy="3497580"/>
            <wp:effectExtent l="0" t="0" r="3810" b="7620"/>
            <wp:docPr id="4" name="图片 4" descr="仿射误差图_陈金华_3237623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仿射误差图_陈金华_323762306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E956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误差热图中，暖色高亮区域对应高残差位置。</w:t>
      </w:r>
    </w:p>
    <w:p w14:paraId="17CF431B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仿射误差图高误差区域分布更广，特别在视盘高亮区、边缘过渡区及部分血管交叉处。</w:t>
      </w:r>
    </w:p>
    <w:p w14:paraId="04C509B7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二次曲面误差图高误差区域更集中、面积更小，说明整体拟合质量更高。 其中，边缘黑底过渡和高亮反光区的误差偏高属于眼底数据常见现象，既受光照变化影响，也受插值与遮罩边界影响。</w:t>
      </w:r>
    </w:p>
    <w:p w14:paraId="04E1A576">
      <w:pPr>
        <w:bidi w:val="0"/>
        <w:rPr>
          <w:rFonts w:hint="eastAsia"/>
          <w:lang w:eastAsia="zh-CN"/>
        </w:rPr>
      </w:pPr>
    </w:p>
    <w:p w14:paraId="14820202">
      <w:pPr>
        <w:bidi w:val="0"/>
        <w:rPr>
          <w:rFonts w:hint="eastAsia"/>
          <w:lang w:eastAsia="zh-CN"/>
        </w:rPr>
      </w:pPr>
    </w:p>
    <w:p w14:paraId="30EF07E5">
      <w:pPr>
        <w:pStyle w:val="3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80" w:firstLineChars="200"/>
        <w:textAlignment w:val="auto"/>
        <w:rPr>
          <w:rFonts w:ascii="Times New Roman" w:hAnsi="Times New Roman" w:eastAsia="宋体"/>
          <w:b w:val="0"/>
          <w:color w:val="000000"/>
          <w:sz w:val="24"/>
          <w:szCs w:val="24"/>
        </w:rPr>
      </w:pPr>
      <w:r>
        <w:rPr>
          <w:rFonts w:ascii="Times New Roman" w:hAnsi="Times New Roman" w:eastAsia="宋体"/>
          <w:b w:val="0"/>
          <w:color w:val="000000"/>
          <w:sz w:val="24"/>
          <w:szCs w:val="24"/>
        </w:rPr>
        <w:t>实验结论总结</w:t>
      </w:r>
    </w:p>
    <w:p w14:paraId="55228FAC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480" w:firstLineChars="200"/>
        <w:textAlignment w:val="auto"/>
        <w:outlineLvl w:val="1"/>
        <w:rPr>
          <w:rFonts w:hint="eastAsia" w:ascii="Times New Roman" w:hAnsi="Times New Roman" w:eastAsia="宋体"/>
          <w:b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 w:val="0"/>
          <w:color w:val="000000"/>
          <w:sz w:val="24"/>
          <w:szCs w:val="24"/>
          <w:lang w:val="en-US" w:eastAsia="zh-CN"/>
        </w:rPr>
        <w:t>分析</w:t>
      </w:r>
      <w:r>
        <w:rPr>
          <w:rStyle w:val="8"/>
          <w:rFonts w:ascii="Times New Roman" w:hAnsi="Times New Roman" w:eastAsia="宋体"/>
          <w:b w:val="0"/>
          <w:bCs/>
          <w:color w:val="000000"/>
          <w:sz w:val="24"/>
          <w:szCs w:val="24"/>
        </w:rPr>
        <w:t>仿射变换</w:t>
      </w:r>
      <w:r>
        <w:rPr>
          <w:rFonts w:hint="eastAsia" w:ascii="Times New Roman" w:hAnsi="Times New Roman" w:eastAsia="宋体"/>
          <w:b w:val="0"/>
          <w:color w:val="000000"/>
          <w:sz w:val="24"/>
          <w:szCs w:val="24"/>
          <w:lang w:val="en-US" w:eastAsia="zh-CN"/>
        </w:rPr>
        <w:t>与</w:t>
      </w:r>
      <w:r>
        <w:rPr>
          <w:rStyle w:val="8"/>
          <w:rFonts w:ascii="Times New Roman" w:hAnsi="Times New Roman" w:eastAsia="宋体"/>
          <w:b w:val="0"/>
          <w:bCs/>
          <w:color w:val="000000"/>
          <w:sz w:val="24"/>
          <w:szCs w:val="24"/>
        </w:rPr>
        <w:t>二次曲面变换</w:t>
      </w:r>
      <w:r>
        <w:rPr>
          <w:rFonts w:hint="eastAsia" w:ascii="Times New Roman" w:hAnsi="Times New Roman" w:eastAsia="宋体"/>
          <w:b w:val="0"/>
          <w:color w:val="000000"/>
          <w:sz w:val="24"/>
          <w:szCs w:val="24"/>
          <w:lang w:val="en-US" w:eastAsia="zh-CN"/>
        </w:rPr>
        <w:t>应用与眼底图像配准的优缺点。</w:t>
      </w:r>
    </w:p>
    <w:p w14:paraId="7E1CDF76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480" w:firstLineChars="200"/>
        <w:textAlignment w:val="auto"/>
        <w:outlineLvl w:val="1"/>
        <w:rPr>
          <w:rFonts w:hint="eastAsia" w:ascii="Times New Roman" w:hAnsi="Times New Roman" w:eastAsia="宋体"/>
          <w:b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 w:val="0"/>
          <w:color w:val="000000"/>
          <w:sz w:val="24"/>
          <w:szCs w:val="24"/>
          <w:lang w:val="en-US" w:eastAsia="zh-CN"/>
        </w:rPr>
        <w:t>本次实验基于眼底图像配准的实际需求，分别采用仿射变换与二次曲面变换完成配准，并从配准精度、适用场景、优缺点等方面进行全面对比与分析。实验结果表明，仿射变换属于全局线性变换，仅能处理平移、旋转、缩放、剪切等简单几何变化，计算速度快、模型简单，但无法适配眼底图像存在的曲面畸变、局部形变、非线性扭曲等复杂变化，配准后图像在血管走向、视盘位置、边缘结构等方面存在明显错位，整体重合度较低，仅能满足粗略对齐的要求。</w:t>
      </w:r>
    </w:p>
    <w:p w14:paraId="6C56FE4E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480" w:firstLineChars="200"/>
        <w:textAlignment w:val="auto"/>
        <w:outlineLvl w:val="1"/>
        <w:rPr>
          <w:rFonts w:hint="eastAsia" w:ascii="Times New Roman" w:hAnsi="Times New Roman" w:eastAsia="宋体"/>
          <w:b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 w:val="0"/>
          <w:color w:val="000000"/>
          <w:sz w:val="24"/>
          <w:szCs w:val="24"/>
          <w:lang w:val="en-US" w:eastAsia="zh-CN"/>
        </w:rPr>
        <w:t>二次曲面变换属于非线性变换，能够精准拟合眼底图像的曲面形态与局部畸变，在全局对齐的基础上实现局部细节的高精度匹配，配准后图像视盘位置、血管分支、边缘轮廓高度重合，无明显错位与扭曲，配准精度显著高于仿射变换。但二次曲面变换模型复杂度更高，计算耗时相对较长，对特征匹配质量与优化算法的要求更高。</w:t>
      </w:r>
    </w:p>
    <w:p w14:paraId="146C9F65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480" w:firstLineChars="200"/>
        <w:textAlignment w:val="auto"/>
        <w:outlineLvl w:val="1"/>
        <w:rPr>
          <w:rFonts w:hint="eastAsia" w:ascii="Times New Roman" w:hAnsi="Times New Roman" w:eastAsia="宋体"/>
          <w:b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 w:val="0"/>
          <w:color w:val="000000"/>
          <w:sz w:val="24"/>
          <w:szCs w:val="24"/>
          <w:lang w:val="en-US" w:eastAsia="zh-CN"/>
        </w:rPr>
        <w:t>综合来看，仿射变换的优点是模型简单、计算快速、稳定性强，缺点是无法适配非线性畸变、配准精度有限、细节对齐差，仅适用于畸变较小、要求快速配准的场景；二次曲面变换的优点是适配曲面畸变、配准精度高、全局与局部同时对齐，缺点是模型复杂、计算耗时较长、对算法要求高，更适用于眼底图像等存在明显曲面畸变、对配准精度要求较高的场景。</w:t>
      </w:r>
    </w:p>
    <w:p w14:paraId="26A08107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480" w:firstLineChars="200"/>
        <w:textAlignment w:val="auto"/>
        <w:outlineLvl w:val="1"/>
        <w:rPr>
          <w:rFonts w:hint="eastAsia" w:ascii="Times New Roman" w:hAnsi="Times New Roman" w:eastAsia="宋体"/>
          <w:b w:val="0"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 w:val="0"/>
          <w:color w:val="000000"/>
          <w:sz w:val="24"/>
          <w:szCs w:val="24"/>
          <w:lang w:val="en-US" w:eastAsia="zh-CN"/>
        </w:rPr>
        <w:t>在实际眼底图像配准中，应优先选择二次曲面变换，以保证配准精度与临床使用需求；仿射变换可作为快速预览或初步配准的辅助方法，二者结合使用能够兼顾效率与精度。</w:t>
      </w:r>
    </w:p>
    <w:p w14:paraId="55C3C2D0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B7ACA3"/>
    <w:multiLevelType w:val="multilevel"/>
    <w:tmpl w:val="E0B7AC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590628E"/>
    <w:multiLevelType w:val="multilevel"/>
    <w:tmpl w:val="E59062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20A5589A"/>
    <w:multiLevelType w:val="multilevel"/>
    <w:tmpl w:val="20A558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2F11E9AF"/>
    <w:multiLevelType w:val="multilevel"/>
    <w:tmpl w:val="2F11E9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285B4F3"/>
    <w:multiLevelType w:val="singleLevel"/>
    <w:tmpl w:val="3285B4F3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51343E"/>
    <w:rsid w:val="0BD64C7B"/>
    <w:rsid w:val="2207593D"/>
    <w:rsid w:val="28BA1D43"/>
    <w:rsid w:val="2AA90D1B"/>
    <w:rsid w:val="2E583E1B"/>
    <w:rsid w:val="3C5A141B"/>
    <w:rsid w:val="4A9D26FB"/>
    <w:rsid w:val="4C6F3FCB"/>
    <w:rsid w:val="5B4B05BF"/>
    <w:rsid w:val="656960A7"/>
    <w:rsid w:val="74DC4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240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620</Words>
  <Characters>692</Characters>
  <Lines>0</Lines>
  <Paragraphs>0</Paragraphs>
  <TotalTime>15</TotalTime>
  <ScaleCrop>false</ScaleCrop>
  <LinksUpToDate>false</LinksUpToDate>
  <CharactersWithSpaces>714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2026-04-01T22:39:00Z</dcterms:created>
  <dc:creator>lenovo</dc:creator>
  <cp:lastModifiedBy>5606</cp:lastModifiedBy>
  <dcterms:modified xsi:type="dcterms:W3CDTF">2026-04-07T03:16:45Z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eyJoZGlkIjoiMTk3Mzg0ZWNkZmE0MGZiZWMyMmM0MzBjOGJhOWM2YjciLCJ1c2VySWQiOiIxNTMxODc4MTkyIn0=</vt:lpwstr>
  </property>
  <property fmtid="{D5CDD505-2E9C-101B-9397-08002B2CF9AE}" pid="4" name="ICV">
    <vt:lpwstr>3F64FAE75F58433EA1F4167517478DCF_13</vt:lpwstr>
  </property>
</Properties>
</file>