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2A44"/>
          <w:sz w:val="36"/>
        </w:rPr>
        <w:t>家庭服务机器人上市与定价模式研究报告</w:t>
      </w:r>
    </w:p>
    <w:p>
      <w:pPr>
        <w:jc w:val="center"/>
      </w:pPr>
      <w:r>
        <w:rPr>
          <w:color w:val="7A8194"/>
          <w:sz w:val="22"/>
        </w:rPr>
        <w:t>个人研究项目 ｜ 竞品对标 · 定价测算 · 用户验证设计</w:t>
      </w:r>
    </w:p>
    <w:p>
      <w:pPr>
        <w:spacing w:after="240"/>
        <w:jc w:val="center"/>
      </w:pPr>
      <w:r>
        <w:rPr>
          <w:color w:val="7A8194"/>
          <w:sz w:val="20"/>
        </w:rPr>
        <w:t>黄川 ｜ 2026 年 9 月 ｜ 数据核实截至 2026-09-05</w:t>
      </w:r>
    </w:p>
    <w:p>
      <w:pPr>
        <w:jc w:val="both"/>
      </w:pPr>
      <w:r>
        <w:t>本报告参照开源市场研究方法框架（五步工作流与十项事实核查质检）适配而成：市场容量测算、竞争格局、定价分析与用户验证设计；全部数据来自作者自行核实并标注来源与核实日期的锚点库，AI 仅用于结构化整理与成文，未引入未经核实的数据。</w:t>
      </w:r>
      <w:r>
        <w:br w:type="page"/>
      </w:r>
    </w:p>
    <w:p>
      <w:pPr>
        <w:jc w:val="center"/>
      </w:pPr>
      <w:r>
        <w:rPr>
          <w:rFonts w:ascii="微软雅黑" w:hAnsi="微软雅黑" w:eastAsia="微软雅黑"/>
          <w:b/>
          <w:color w:val="1F2A44"/>
          <w:sz w:val="28"/>
        </w:rPr>
        <w:t>目  录</w:t>
      </w:r>
    </w:p>
    <w:p>
      <w:pPr>
        <w:pStyle w:val="9"/>
        <w:tabs>
          <w:tab w:val="right" w:leader="dot" w:pos="9026"/>
        </w:tabs>
        <w:spacing w:before="120" w:after="60"/>
      </w:pPr>
      <w:hyperlink w:anchor="_Toc100000" w:history="1">
        <w:r>
          <w:rPr>
            <w:rStyle w:val="Hyperlink"/>
          </w:rPr>
          <w:t>1. 执行摘要（关键发现）</w:t>
        </w:r>
        <w:r>
          <w:tab/>
        </w:r>
        <w:r>
          <w:fldChar w:fldCharType="begin"/>
        </w:r>
        <w:r>
          <w:instrText xml:space="preserve"> PAGEREF _Toc100000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01" w:history="1">
        <w:r>
          <w:rPr>
            <w:rStyle w:val="Hyperlink"/>
          </w:rPr>
          <w:t>2. 研究方法、数据来源与局限</w:t>
        </w:r>
        <w:r>
          <w:tab/>
        </w:r>
        <w:r>
          <w:fldChar w:fldCharType="begin"/>
        </w:r>
        <w:r>
          <w:instrText xml:space="preserve"> PAGEREF _Toc100001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02" w:history="1">
        <w:r>
          <w:rPr>
            <w:rStyle w:val="Hyperlink"/>
          </w:rPr>
          <w:t>2.1 方法框架</w:t>
        </w:r>
        <w:r>
          <w:tab/>
        </w:r>
        <w:r>
          <w:fldChar w:fldCharType="begin"/>
        </w:r>
        <w:r>
          <w:instrText xml:space="preserve"> PAGEREF _Toc100002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03" w:history="1">
        <w:r>
          <w:rPr>
            <w:rStyle w:val="Hyperlink"/>
          </w:rPr>
          <w:t>2.2 数据来源与核实规则</w:t>
        </w:r>
        <w:r>
          <w:tab/>
        </w:r>
        <w:r>
          <w:fldChar w:fldCharType="begin"/>
        </w:r>
        <w:r>
          <w:instrText xml:space="preserve"> PAGEREF _Toc100003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04" w:history="1">
        <w:r>
          <w:rPr>
            <w:rStyle w:val="Hyperlink"/>
          </w:rPr>
          <w:t>2.3 局限性声明</w:t>
        </w:r>
        <w:r>
          <w:tab/>
        </w:r>
        <w:r>
          <w:fldChar w:fldCharType="begin"/>
        </w:r>
        <w:r>
          <w:instrText xml:space="preserve"> PAGEREF _Toc100004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05" w:history="1">
        <w:r>
          <w:rPr>
            <w:rStyle w:val="Hyperlink"/>
          </w:rPr>
          <w:t>3. 市场规模与渗透率</w:t>
        </w:r>
        <w:r>
          <w:tab/>
        </w:r>
        <w:r>
          <w:fldChar w:fldCharType="begin"/>
        </w:r>
        <w:r>
          <w:instrText xml:space="preserve"> PAGEREF _Toc100005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06" w:history="1">
        <w:r>
          <w:rPr>
            <w:rStyle w:val="Hyperlink"/>
          </w:rPr>
          <w:t>3.1 渗透率对标</w:t>
        </w:r>
        <w:r>
          <w:tab/>
        </w:r>
        <w:r>
          <w:fldChar w:fldCharType="begin"/>
        </w:r>
        <w:r>
          <w:instrText xml:space="preserve"> PAGEREF _Toc100006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07" w:history="1">
        <w:r>
          <w:rPr>
            <w:rStyle w:val="Hyperlink"/>
          </w:rPr>
          <w:t>3.2 TAM 量级速算（自上而下）</w:t>
        </w:r>
        <w:r>
          <w:tab/>
        </w:r>
        <w:r>
          <w:fldChar w:fldCharType="begin"/>
        </w:r>
        <w:r>
          <w:instrText xml:space="preserve"> PAGEREF _Toc100007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08" w:history="1">
        <w:r>
          <w:rPr>
            <w:rStyle w:val="Hyperlink"/>
          </w:rPr>
          <w:t>4. 竞争格局</w:t>
        </w:r>
        <w:r>
          <w:tab/>
        </w:r>
        <w:r>
          <w:fldChar w:fldCharType="begin"/>
        </w:r>
        <w:r>
          <w:instrText xml:space="preserve"> PAGEREF _Toc100008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09" w:history="1">
        <w:r>
          <w:rPr>
            <w:rStyle w:val="Hyperlink"/>
          </w:rPr>
          <w:t>4.1 竞品对标总览</w:t>
        </w:r>
        <w:r>
          <w:tab/>
        </w:r>
        <w:r>
          <w:fldChar w:fldCharType="begin"/>
        </w:r>
        <w:r>
          <w:instrText xml:space="preserve"> PAGEREF _Toc100009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10" w:history="1">
        <w:r>
          <w:rPr>
            <w:rStyle w:val="Hyperlink"/>
          </w:rPr>
          <w:t>4.2 格局判断</w:t>
        </w:r>
        <w:r>
          <w:tab/>
        </w:r>
        <w:r>
          <w:fldChar w:fldCharType="begin"/>
        </w:r>
        <w:r>
          <w:instrText xml:space="preserve"> PAGEREF _Toc100010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11" w:history="1">
        <w:r>
          <w:rPr>
            <w:rStyle w:val="Hyperlink"/>
          </w:rPr>
          <w:t>5. 定价分析：四种模式的单位经济账</w:t>
        </w:r>
        <w:r>
          <w:tab/>
        </w:r>
        <w:r>
          <w:fldChar w:fldCharType="begin"/>
        </w:r>
        <w:r>
          <w:instrText xml:space="preserve"> PAGEREF _Toc100011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12" w:history="1">
        <w:r>
          <w:rPr>
            <w:rStyle w:val="Hyperlink"/>
          </w:rPr>
          <w:t>5.1 敏感性</w:t>
        </w:r>
        <w:r>
          <w:tab/>
        </w:r>
        <w:r>
          <w:fldChar w:fldCharType="begin"/>
        </w:r>
        <w:r>
          <w:instrText xml:space="preserve"> PAGEREF _Toc100012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13" w:history="1">
        <w:r>
          <w:rPr>
            <w:rStyle w:val="Hyperlink"/>
          </w:rPr>
          <w:t>5.2 定价建议</w:t>
        </w:r>
        <w:r>
          <w:tab/>
        </w:r>
        <w:r>
          <w:fldChar w:fldCharType="begin"/>
        </w:r>
        <w:r>
          <w:instrText xml:space="preserve"> PAGEREF _Toc100013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14" w:history="1">
        <w:r>
          <w:rPr>
            <w:rStyle w:val="Hyperlink"/>
          </w:rPr>
          <w:t>6. 用户验证设计（待执行）</w:t>
        </w:r>
        <w:r>
          <w:tab/>
        </w:r>
        <w:r>
          <w:fldChar w:fldCharType="begin"/>
        </w:r>
        <w:r>
          <w:instrText xml:space="preserve"> PAGEREF _Toc100014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15" w:history="1">
        <w:r>
          <w:rPr>
            <w:rStyle w:val="Hyperlink"/>
          </w:rPr>
          <w:t>6.1 访谈提纲（10 问 × 4 模块）</w:t>
        </w:r>
        <w:r>
          <w:tab/>
        </w:r>
        <w:r>
          <w:fldChar w:fldCharType="begin"/>
        </w:r>
        <w:r>
          <w:instrText xml:space="preserve"> PAGEREF _Toc100015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16" w:history="1">
        <w:r>
          <w:rPr>
            <w:rStyle w:val="Hyperlink"/>
          </w:rPr>
          <w:t>6.2 问卷与诚信规则</w:t>
        </w:r>
        <w:r>
          <w:tab/>
        </w:r>
        <w:r>
          <w:fldChar w:fldCharType="begin"/>
        </w:r>
        <w:r>
          <w:instrText xml:space="preserve"> PAGEREF _Toc100016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17" w:history="1">
        <w:r>
          <w:rPr>
            <w:rStyle w:val="Hyperlink"/>
          </w:rPr>
          <w:t>7. 结论与下一步</w:t>
        </w:r>
        <w:r>
          <w:tab/>
        </w:r>
        <w:r>
          <w:fldChar w:fldCharType="begin"/>
        </w:r>
        <w:r>
          <w:instrText xml:space="preserve"> PAGEREF _Toc100017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18" w:history="1">
        <w:r>
          <w:rPr>
            <w:rStyle w:val="Hyperlink"/>
          </w:rPr>
          <w:t>附录 A：数据锚点与来源（核实截至 2026-09-05）</w:t>
        </w:r>
        <w:r>
          <w:tab/>
        </w:r>
        <w:r>
          <w:fldChar w:fldCharType="begin"/>
        </w:r>
        <w:r>
          <w:instrText xml:space="preserve"> PAGEREF _Toc100018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19" w:history="1">
        <w:r>
          <w:rPr>
            <w:rStyle w:val="Hyperlink"/>
          </w:rPr>
          <w:t>附录 B：事实核查质检清单（十项）</w:t>
        </w:r>
        <w:r>
          <w:tab/>
        </w:r>
        <w:r>
          <w:fldChar w:fldCharType="begin"/>
        </w:r>
        <w:r>
          <w:instrText xml:space="preserve"> PAGEREF _Toc100019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r>
        <w:fldChar w:fldCharType="begin"/>
        <w:instrText xml:space="preserve">TOC \o "1-2" \h \z \u</w:instrText>
        <w:fldChar w:fldCharType="separate"/>
        <w:t>目录内容：在 Word/WPS 中右键此处选择“更新域”即可生成。</w:t>
        <w:fldChar w:fldCharType="end"/>
      </w:r>
    </w:p>
    <w:p>
      <w:r>
        <w:rPr>
          <w:i/>
          <w:color w:val="7A8194"/>
          <w:sz w:val="18"/>
        </w:rPr>
        <w:t>提示：目录为域代码，打开后请右键目录 → 更新域，以刷新页码。</w:t>
      </w:r>
      <w:r>
        <w:br w:type="page"/>
      </w:r>
    </w:p>
    <w:p>
      <w:pPr>
        <w:pStyle w:val="Heading1"/>
      </w:pPr>
      <w:bookmarkStart w:id="100000" w:name="_Toc100000"/>
      <w:r>
        <w:t>1. 执行摘要（关键发现）</w:t>
      </w:r>
      <w:bookmarkEnd w:id="100000"/>
    </w:p>
    <w:p>
      <w:pPr>
        <w:ind w:left="283" w:hanging="240"/>
      </w:pPr>
      <w:r>
        <w:t>• 家庭付费目前只在“清洁”场景被验证：扫地机主力价格带 4000–6000 元，中国渗透率 2021–2024 年停滞在 5–6%（美国 20.5%、欧洲约 15%）——价格与体验是渗透瓶颈，研报共识“价格下探是渗透率提升的推手”。</w:t>
      </w:r>
    </w:p>
    <w:p>
      <w:pPr>
        <w:ind w:left="283" w:hanging="240"/>
      </w:pPr>
      <w:r>
        <w:t>• 人形玩家的第一批付费场景全在 B 端：智元全系开售价 9.8 万–45 万元（展演/接待），银河通用深耕药房/无人零售（年销约 150 台）——家庭是“最后一步”，尚无硬件形态完成验证。</w:t>
      </w:r>
    </w:p>
    <w:p>
      <w:pPr>
        <w:ind w:left="283" w:hanging="240"/>
      </w:pPr>
      <w:r>
        <w:t>• 自变量机器人以“服务”进家：与 58 到家合作的“机器人+阿姨”上门保洁 149 元/次，是全赛道唯一把家庭获得门槛降到百元级的玩家；测算其单次毛贡献约 +35 元，仅够打平——本质是补贴换数据与口碑。</w:t>
      </w:r>
    </w:p>
    <w:p>
      <w:pPr>
        <w:ind w:left="283" w:hanging="240"/>
      </w:pPr>
      <w:r>
        <w:t>• 四模式测算显示：售价 3 万元的买断模式可承受 BOM 上限仅约 1.35 万元（执行器总成约占整机成本 35%，约束极紧）；月租约 1137 元；订阅 LTV 约 4306 元养不起“硬件白送”——FSD 于 2026 年 2 月全球取消 6.4 万元买断、转向订阅，印证“能力订阅化”方向。</w:t>
      </w:r>
    </w:p>
    <w:p>
      <w:pPr>
        <w:ind w:left="283" w:hanging="240"/>
      </w:pPr>
      <w:r>
        <w:t>• 建议：首批体验家庭采用“低价/免费 + 每周回访”换取数据与口碑，规模化后走“硬件贴近成本 + 能力订阅”组合；以单位经济账（BOM 上限、单次毛贡献、订阅 LTV）与用户验证结果（问卷/访谈）作为上市节奏的决策依据。</w:t>
      </w:r>
    </w:p>
    <w:p>
      <w:pPr>
        <w:pStyle w:val="Heading1"/>
      </w:pPr>
      <w:bookmarkStart w:id="100001" w:name="_Toc100001"/>
      <w:r>
        <w:t>2. 研究方法、数据来源与局限</w:t>
      </w:r>
      <w:bookmarkEnd w:id="100001"/>
    </w:p>
    <w:p>
      <w:pPr>
        <w:pStyle w:val="Heading2"/>
      </w:pPr>
      <w:bookmarkStart w:id="100002" w:name="_Toc100002"/>
      <w:r>
        <w:t>2.1 方法框架</w:t>
      </w:r>
      <w:bookmarkEnd w:id="100002"/>
    </w:p>
    <w:p>
      <w:pPr>
        <w:ind w:firstLine="420"/>
        <w:jc w:val="both"/>
      </w:pPr>
      <w:r>
        <w:t>研究遵循“对标 → 测算 → 验证”三步，并采用研报常用的定价三角交叉验证：成本导向（BOM 反推与执行器占比约束）、竞争导向（价格带锚定）、需求导向（访谈价格锚测试）。市场容量采用自上而下（渗透率 × 家庭数 × 客单价）与单位经济账（自下而上）双重口径。</w:t>
      </w:r>
    </w:p>
    <w:p>
      <w:pPr>
        <w:pStyle w:val="Heading2"/>
      </w:pPr>
      <w:bookmarkStart w:id="100003" w:name="_Toc100003"/>
      <w:r>
        <w:t>2.2 数据来源与核实规则</w:t>
      </w:r>
      <w:bookmarkEnd w:id="100003"/>
    </w:p>
    <w:p>
      <w:pPr>
        <w:ind w:firstLine="420"/>
        <w:jc w:val="both"/>
      </w:pPr>
      <w:r>
        <w:t>来源分级：公司官网与官方商城 &gt; 主流财经/科技媒体（财联社、证券时报、新浪财经、人民网等）&gt; 电商到手价 &gt; 社区讨论（仅作定性参考）。所有关键数字至少两个独立来源交叉验证，并标注核实日期（2026-09-05）；引用前建议再次打开原始链接复核。</w:t>
      </w:r>
    </w:p>
    <w:p>
      <w:pPr>
        <w:pStyle w:val="Heading2"/>
      </w:pPr>
      <w:bookmarkStart w:id="100004" w:name="_Toc100004"/>
      <w:r>
        <w:t>2.3 局限性声明</w:t>
      </w:r>
      <w:bookmarkEnd w:id="100004"/>
    </w:p>
    <w:p>
      <w:pPr>
        <w:ind w:left="283" w:hanging="240"/>
      </w:pPr>
      <w:r>
        <w:t>• 用户侧付费意愿数据尚未回收（问卷/访谈进行中），第 6 章为验证设计而非结论；</w:t>
      </w:r>
    </w:p>
    <w:p>
      <w:pPr>
        <w:ind w:left="283" w:hanging="240"/>
      </w:pPr>
      <w:r>
        <w:t>• 自变量“149 元/次”的阿姨分成、调度成本等为其商业模式假设，测算默认口径为人工 100 元/单、调度 10 元/单、设备 3 万元/24 个月折旧，敏感性见第 5 章；</w:t>
      </w:r>
    </w:p>
    <w:p>
      <w:pPr>
        <w:ind w:left="283" w:hanging="240"/>
      </w:pPr>
      <w:r>
        <w:t>• 电商价格随促销波动，报告中价格为“官方指导价/到手价”混合口径，均标注来源；</w:t>
      </w:r>
    </w:p>
    <w:p>
      <w:pPr>
        <w:ind w:left="283" w:hanging="240"/>
      </w:pPr>
      <w:r>
        <w:t>• Optimus 2–3 万美元为马斯克公开目标价（est.），仅作远期锚点，不作为事实引用。</w:t>
      </w:r>
    </w:p>
    <w:p>
      <w:pPr>
        <w:pStyle w:val="Heading1"/>
      </w:pPr>
      <w:bookmarkStart w:id="100005" w:name="_Toc100005"/>
      <w:r>
        <w:t>3. 市场规模与渗透率</w:t>
      </w:r>
      <w:bookmarkEnd w:id="100005"/>
    </w:p>
    <w:p>
      <w:pPr>
        <w:pStyle w:val="Heading2"/>
      </w:pPr>
      <w:bookmarkStart w:id="100006" w:name="_Toc100006"/>
      <w:r>
        <w:t>3.1 渗透率对标</w:t>
      </w:r>
      <w:bookmarkEnd w:id="100006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3061"/>
        <w:gridCol w:w="3061"/>
        <w:gridCol w:w="3061"/>
      </w:tblGrid>
      <w:tr>
        <w:trPr>
          <w:tblHeader w:val="true"/>
          <w:cantSplit/>
        </w:trPr>
        <w:tc>
          <w:tcPr>
            <w:tcW w:type="dxa" w:w="2551"/>
            <w:shd w:val="clear" w:fill="1F2A4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市场</w:t>
            </w:r>
          </w:p>
        </w:tc>
        <w:tc>
          <w:tcPr>
            <w:tcW w:type="dxa" w:w="2551"/>
            <w:shd w:val="clear" w:fill="1F2A4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渗透率</w:t>
            </w:r>
          </w:p>
        </w:tc>
        <w:tc>
          <w:tcPr>
            <w:tcW w:type="dxa" w:w="3969"/>
            <w:shd w:val="clear" w:fill="1F2A4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口径与来源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中国扫地机器人</w:t>
            </w:r>
          </w:p>
        </w:tc>
        <w:tc>
          <w:tcPr>
            <w:tcW w:type="dxa" w:w="2551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5–6%（2021–2024 停滞）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欧睿国际/观研报告网/21 财经，核实 2026-09-05</w:t>
            </w:r>
          </w:p>
        </w:tc>
      </w:tr>
      <w:tr>
        <w:trPr>
          <w:cantSplit/>
        </w:trPr>
        <w:tc>
          <w:tcPr>
            <w:tcW w:type="dxa" w:w="2551"/>
            <w:shd w:val="clear" w:fill="F3F5F9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美国扫地机器人</w:t>
            </w:r>
          </w:p>
        </w:tc>
        <w:tc>
          <w:tcPr>
            <w:tcW w:type="dxa" w:w="2551"/>
            <w:shd w:val="clear" w:fill="F3F5F9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20.5%（2024）</w:t>
            </w:r>
          </w:p>
        </w:tc>
        <w:tc>
          <w:tcPr>
            <w:tcW w:type="dxa" w:w="3969"/>
            <w:shd w:val="clear" w:fill="F3F5F9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欧睿国际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欧洲扫地机器人</w:t>
            </w:r>
          </w:p>
        </w:tc>
        <w:tc>
          <w:tcPr>
            <w:tcW w:type="dxa" w:w="2551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约 15%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行业报道</w:t>
            </w:r>
          </w:p>
        </w:tc>
      </w:tr>
      <w:tr>
        <w:trPr>
          <w:cantSplit/>
        </w:trPr>
        <w:tc>
          <w:tcPr>
            <w:tcW w:type="dxa" w:w="2551"/>
            <w:shd w:val="clear" w:fill="F3F5F9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中国高线城市</w:t>
            </w:r>
          </w:p>
        </w:tc>
        <w:tc>
          <w:tcPr>
            <w:tcW w:type="dxa" w:w="2551"/>
            <w:shd w:val="clear" w:fill="F3F5F9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超 20%（新一线约 22%）</w:t>
            </w:r>
          </w:p>
        </w:tc>
        <w:tc>
          <w:tcPr>
            <w:tcW w:type="dxa" w:w="3969"/>
            <w:shd w:val="clear" w:fill="F3F5F9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财联社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color w:val="7A8194"/>
          <w:sz w:val="18"/>
        </w:rPr>
        <w:t>表 3-1 渗透率对标：渗透率长期徘徊说明“价格下探+体验提升”是放量的前提，这直接支持新品类以低门槛方式进入家庭。</w:t>
      </w:r>
    </w:p>
    <w:p>
      <w:pPr>
        <w:pStyle w:val="Heading2"/>
      </w:pPr>
      <w:bookmarkStart w:id="100007" w:name="_Toc100007"/>
      <w:r>
        <w:t>3.2 TAM 量级速算（自上而下）</w:t>
      </w:r>
      <w:bookmarkEnd w:id="100007"/>
    </w:p>
    <w:p>
      <w:pPr>
        <w:ind w:firstLine="420"/>
        <w:jc w:val="both"/>
      </w:pPr>
      <w:r>
        <w:t>假设：中国城镇家庭约 3.2 亿户，目标渗透率 1%，客单价按买断口径 3 万元/台，则年市场规模约 960 亿元。按扫地机当前约 5.5% 的渗透率作为远期参照，量级在数千亿元。该测算仅用于量级判断，不构成精确预测；假设可在测算模板中修改。</w:t>
      </w:r>
    </w:p>
    <w:p>
      <w:pPr>
        <w:pStyle w:val="Heading1"/>
      </w:pPr>
      <w:bookmarkStart w:id="100008" w:name="_Toc100008"/>
      <w:r>
        <w:t>4. 竞争格局</w:t>
      </w:r>
      <w:bookmarkEnd w:id="100008"/>
    </w:p>
    <w:p>
      <w:pPr>
        <w:pStyle w:val="Heading2"/>
      </w:pPr>
      <w:bookmarkStart w:id="100009" w:name="_Toc100009"/>
      <w:r>
        <w:t>4.1 竞品对标总览</w:t>
      </w:r>
      <w:bookmarkEnd w:id="100009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1837"/>
        <w:gridCol w:w="1837"/>
        <w:gridCol w:w="1837"/>
        <w:gridCol w:w="1837"/>
        <w:gridCol w:w="1837"/>
      </w:tblGrid>
      <w:tr>
        <w:trPr>
          <w:tblHeader w:val="true"/>
          <w:cantSplit/>
        </w:trPr>
        <w:tc>
          <w:tcPr>
            <w:tcW w:type="dxa" w:w="1814"/>
            <w:shd w:val="clear" w:fill="1F2A4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公司</w:t>
            </w:r>
          </w:p>
        </w:tc>
        <w:tc>
          <w:tcPr>
            <w:tcW w:type="dxa" w:w="1474"/>
            <w:shd w:val="clear" w:fill="1F2A4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形态</w:t>
            </w:r>
          </w:p>
        </w:tc>
        <w:tc>
          <w:tcPr>
            <w:tcW w:type="dxa" w:w="1928"/>
            <w:shd w:val="clear" w:fill="1F2A4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目标场景</w:t>
            </w:r>
          </w:p>
        </w:tc>
        <w:tc>
          <w:tcPr>
            <w:tcW w:type="dxa" w:w="1928"/>
            <w:shd w:val="clear" w:fill="1F2A4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价格/收费</w:t>
            </w:r>
          </w:p>
        </w:tc>
        <w:tc>
          <w:tcPr>
            <w:tcW w:type="dxa" w:w="1928"/>
            <w:shd w:val="clear" w:fill="1F2A4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商业模式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自变量机器人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双臂具身本体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家庭保洁/收纳/取物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149 元/次（服务）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与 58 到家合作人机协同服务</w:t>
            </w:r>
          </w:p>
        </w:tc>
      </w:tr>
      <w:tr>
        <w:trPr>
          <w:cantSplit/>
        </w:trPr>
        <w:tc>
          <w:tcPr>
            <w:tcW w:type="dxa" w:w="1814"/>
            <w:shd w:val="clear" w:fill="F3F5F9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宇树</w:t>
            </w:r>
          </w:p>
        </w:tc>
        <w:tc>
          <w:tcPr>
            <w:tcW w:type="dxa" w:w="1474"/>
            <w:shd w:val="clear" w:fill="F3F5F9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人形 G1/R1</w:t>
            </w:r>
          </w:p>
        </w:tc>
        <w:tc>
          <w:tcPr>
            <w:tcW w:type="dxa" w:w="1928"/>
            <w:shd w:val="clear" w:fill="F3F5F9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科研/展演/开发者</w:t>
            </w:r>
          </w:p>
        </w:tc>
        <w:tc>
          <w:tcPr>
            <w:tcW w:type="dxa" w:w="1928"/>
            <w:shd w:val="clear" w:fill="F3F5F9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9.9 万起 / 2.99 万起</w:t>
            </w:r>
          </w:p>
        </w:tc>
        <w:tc>
          <w:tcPr>
            <w:tcW w:type="dxa" w:w="1928"/>
            <w:shd w:val="clear" w:fill="F3F5F9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硬件买断 + 开发者生态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智元机器人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人形 + 轮式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交互服务/展演（B 端）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9.8 万–45 万元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硬件买断（含分期）</w:t>
            </w:r>
          </w:p>
        </w:tc>
      </w:tr>
      <w:tr>
        <w:trPr>
          <w:cantSplit/>
        </w:trPr>
        <w:tc>
          <w:tcPr>
            <w:tcW w:type="dxa" w:w="1814"/>
            <w:shd w:val="clear" w:fill="F3F5F9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银河通用</w:t>
            </w:r>
          </w:p>
        </w:tc>
        <w:tc>
          <w:tcPr>
            <w:tcW w:type="dxa" w:w="1474"/>
            <w:shd w:val="clear" w:fill="F3F5F9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轮式双臂</w:t>
            </w:r>
          </w:p>
        </w:tc>
        <w:tc>
          <w:tcPr>
            <w:tcW w:type="dxa" w:w="1928"/>
            <w:shd w:val="clear" w:fill="F3F5F9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B 端药房/无人零售</w:t>
            </w:r>
          </w:p>
        </w:tc>
        <w:tc>
          <w:tcPr>
            <w:tcW w:type="dxa" w:w="1928"/>
            <w:shd w:val="clear" w:fill="F3F5F9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未公开（解决方案）</w:t>
            </w:r>
          </w:p>
        </w:tc>
        <w:tc>
          <w:tcPr>
            <w:tcW w:type="dxa" w:w="1928"/>
            <w:shd w:val="clear" w:fill="F3F5F9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B 端整机 + 运营方案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科沃斯/石头/追觅/云鲸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扫地/洗地机器人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家庭清洁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旗舰 4999–5999 元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买断（电商 + 线下）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color w:val="7A8194"/>
          <w:sz w:val="18"/>
        </w:rPr>
        <w:t>表 4-1 竞品对标（节选自对标表，完整 12 列版本见配套 Excel；来源：各公司官网、财联社、人民网、新浪财经，核实 2026-09-05）</w:t>
      </w:r>
    </w:p>
    <w:p>
      <w:pPr>
        <w:pStyle w:val="Heading2"/>
      </w:pPr>
      <w:bookmarkStart w:id="100010" w:name="_Toc100010"/>
      <w:r>
        <w:t>4.2 格局判断</w:t>
      </w:r>
      <w:bookmarkEnd w:id="100010"/>
    </w:p>
    <w:p>
      <w:pPr>
        <w:ind w:left="283" w:hanging="240"/>
      </w:pPr>
      <w:r>
        <w:t>• 家庭付费只被“清洁”场景验证过（4000–6000 元带）；任何高于该带的新品类必须由“新能力”支付溢价。</w:t>
      </w:r>
    </w:p>
    <w:p>
      <w:pPr>
        <w:ind w:left="283" w:hanging="240"/>
      </w:pPr>
      <w:r>
        <w:t>• 人形玩家首批付费场景全在 B 端（展演、药房、物流）；自变量是唯一用“服务”形态走进家庭的玩家。</w:t>
      </w:r>
    </w:p>
    <w:p>
      <w:pPr>
        <w:ind w:left="283" w:hanging="240"/>
      </w:pPr>
      <w:r>
        <w:t>• 硬件价格在快速下探（宇树均价两年从 59.3 万元降至约 16.8 万元），但离家庭可承受区间仍差 1–2 个数量级——服务与订阅因此成为当前仅有的两条进家通道。</w:t>
      </w:r>
    </w:p>
    <w:p>
      <w:pPr>
        <w:pStyle w:val="Heading1"/>
      </w:pPr>
      <w:bookmarkStart w:id="100011" w:name="_Toc100011"/>
      <w:r>
        <w:t>5. 定价分析：四种模式的单位经济账</w:t>
      </w:r>
      <w:bookmarkEnd w:id="10001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2296"/>
        <w:gridCol w:w="2296"/>
        <w:gridCol w:w="2296"/>
        <w:gridCol w:w="2296"/>
      </w:tblGrid>
      <w:tr>
        <w:trPr>
          <w:tblHeader w:val="true"/>
          <w:cantSplit/>
        </w:trPr>
        <w:tc>
          <w:tcPr>
            <w:tcW w:type="dxa" w:w="1247"/>
            <w:shd w:val="clear" w:fill="1F2A4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2494"/>
            <w:shd w:val="clear" w:fill="1F2A4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默认假设</w:t>
            </w:r>
          </w:p>
        </w:tc>
        <w:tc>
          <w:tcPr>
            <w:tcW w:type="dxa" w:w="1928"/>
            <w:shd w:val="clear" w:fill="1F2A4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关键结果</w:t>
            </w:r>
          </w:p>
        </w:tc>
        <w:tc>
          <w:tcPr>
            <w:tcW w:type="dxa" w:w="3402"/>
            <w:shd w:val="clear" w:fill="1F2A4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买断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售价 3 万、毛利 30%、渠道 25%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BOM 上限约 1.35 万元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执行器总成约占整机成本 35%，1.35 万 BOM 约束极紧——3 万级硬件难以做出“有手有眼”</w:t>
            </w:r>
          </w:p>
        </w:tc>
      </w:tr>
      <w:tr>
        <w:trPr>
          <w:cantSplit/>
        </w:trPr>
        <w:tc>
          <w:tcPr>
            <w:tcW w:type="dxa" w:w="1247"/>
            <w:shd w:val="clear" w:fill="F3F5F9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租赁</w:t>
            </w:r>
          </w:p>
        </w:tc>
        <w:tc>
          <w:tcPr>
            <w:tcW w:type="dxa" w:w="2494"/>
            <w:shd w:val="clear" w:fill="F3F5F9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设备 3 万、36 期、残值 20%</w:t>
            </w:r>
          </w:p>
        </w:tc>
        <w:tc>
          <w:tcPr>
            <w:tcW w:type="dxa" w:w="1928"/>
            <w:shd w:val="clear" w:fill="F3F5F9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月租约 1137 元</w:t>
            </w:r>
          </w:p>
        </w:tc>
        <w:tc>
          <w:tcPr>
            <w:tcW w:type="dxa" w:w="3402"/>
            <w:shd w:val="clear" w:fill="F3F5F9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对照家政阿姨包月 4000–6000 元，月租须提供“阿姨做不到”的能力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订阅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299 元/月 × 24 月 × 60% 毛利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LTV 约 4306 元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养不起“硬件白送”；FSD 2026.2 取消 6.4 万元买断转订阅，验证能力订阅化方向</w:t>
            </w:r>
          </w:p>
        </w:tc>
      </w:tr>
      <w:tr>
        <w:trPr>
          <w:cantSplit/>
        </w:trPr>
        <w:tc>
          <w:tcPr>
            <w:tcW w:type="dxa" w:w="1247"/>
            <w:shd w:val="clear" w:fill="F3F5F9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服务单次</w:t>
            </w:r>
          </w:p>
        </w:tc>
        <w:tc>
          <w:tcPr>
            <w:tcW w:type="dxa" w:w="2494"/>
            <w:shd w:val="clear" w:fill="F3F5F9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149 元/次 − 人工 100 − 调度 10 − 折旧约 4</w:t>
            </w:r>
          </w:p>
        </w:tc>
        <w:tc>
          <w:tcPr>
            <w:tcW w:type="dxa" w:w="1928"/>
            <w:shd w:val="clear" w:fill="F3F5F9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单次毛贡献约 +35 元</w:t>
            </w:r>
          </w:p>
        </w:tc>
        <w:tc>
          <w:tcPr>
            <w:tcW w:type="dxa" w:w="3402"/>
            <w:shd w:val="clear" w:fill="F3F5F9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仅够打平（未含研发与获客）——服务是换数据与口碑的生意，不是利润生意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color w:val="7A8194"/>
          <w:sz w:val="18"/>
        </w:rPr>
        <w:t>表 5-1 四模式测算（全部数字由配套 Excel“定价测算”公式生成，黄色假设格可修改后自动重算）</w:t>
      </w:r>
    </w:p>
    <w:p>
      <w:pPr>
        <w:pStyle w:val="Heading2"/>
      </w:pPr>
      <w:bookmarkStart w:id="100012" w:name="_Toc100012"/>
      <w:r>
        <w:t>5.1 敏感性</w:t>
      </w:r>
      <w:bookmarkEnd w:id="100012"/>
    </w:p>
    <w:p>
      <w:pPr>
        <w:ind w:firstLine="420"/>
        <w:jc w:val="both"/>
      </w:pPr>
      <w:r>
        <w:t>服务模式单次毛贡献对“人工成本 × 日均单量”最敏感：人工 70 元、日均 15 单时约 66 元/单，人工 130 元、日均 5 单时转负。这说明“人机协同”的价值主张本质是让阿姨“一天多接单”或“单位人工更便宜”。</w:t>
      </w:r>
    </w:p>
    <w:p>
      <w:pPr>
        <w:pStyle w:val="Heading2"/>
      </w:pPr>
      <w:bookmarkStart w:id="100013" w:name="_Toc100013"/>
      <w:r>
        <w:t>5.2 定价建议</w:t>
      </w:r>
      <w:bookmarkEnd w:id="100013"/>
    </w:p>
    <w:p>
      <w:pPr>
        <w:ind w:left="283" w:hanging="240"/>
      </w:pPr>
      <w:r>
        <w:t>• 首批体验家庭：收“低门槛承诺”而非真价——999–1999 元可退押金（或月租 99–199 元）+ 每周回访任务，既测支付意愿又锁定数据与口碑来源。</w:t>
      </w:r>
    </w:p>
    <w:p>
      <w:pPr>
        <w:ind w:left="283" w:hanging="240"/>
      </w:pPr>
      <w:r>
        <w:t>• 规模化组合：硬件贴近 BOM 定价（2–3 万级）走量，利润靠订阅（持续学习/技能库/远程管家，99–299 元/月）。</w:t>
      </w:r>
    </w:p>
    <w:p>
      <w:pPr>
        <w:ind w:left="283" w:hanging="240"/>
      </w:pPr>
      <w:r>
        <w:t>• 先跑通服务：判定指标为提效后单次毛贡献转厚（目标日均 15 单、人工 70 元）且家庭月复购率过半。</w:t>
      </w:r>
    </w:p>
    <w:p>
      <w:pPr>
        <w:pStyle w:val="Heading1"/>
      </w:pPr>
      <w:bookmarkStart w:id="100014" w:name="_Toc100014"/>
      <w:r>
        <w:t>6. 用户验证设计（待执行）</w:t>
      </w:r>
      <w:bookmarkEnd w:id="100014"/>
    </w:p>
    <w:p>
      <w:pPr>
        <w:ind w:firstLine="420"/>
        <w:jc w:val="both"/>
      </w:pPr>
      <w:r>
        <w:t>用户侧结论以问卷（≥30 份）与入户访谈（≥3 户）回收后为准，本章为验证设计。</w:t>
      </w:r>
    </w:p>
    <w:p>
      <w:pPr>
        <w:pStyle w:val="Heading2"/>
      </w:pPr>
      <w:bookmarkStart w:id="100015" w:name="_Toc100015"/>
      <w:r>
        <w:t>6.1 访谈提纲（10 问 × 4 模块）</w:t>
      </w:r>
      <w:bookmarkEnd w:id="100015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3061"/>
        <w:gridCol w:w="3061"/>
        <w:gridCol w:w="3061"/>
      </w:tblGrid>
      <w:tr>
        <w:trPr>
          <w:tblHeader w:val="true"/>
          <w:cantSplit/>
        </w:trPr>
        <w:tc>
          <w:tcPr>
            <w:tcW w:type="dxa" w:w="1701"/>
            <w:shd w:val="clear" w:fill="1F2A4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948"/>
            <w:shd w:val="clear" w:fill="1F2A4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内容要点</w:t>
            </w:r>
          </w:p>
        </w:tc>
        <w:tc>
          <w:tcPr>
            <w:tcW w:type="dxa" w:w="4422"/>
            <w:shd w:val="clear" w:fill="1F2A4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示例问题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A 现状与痛点</w:t>
            </w:r>
          </w:p>
        </w:tc>
        <w:tc>
          <w:tcPr>
            <w:tcW w:type="dxa" w:w="2948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家务分工、最头疼的事、清洁电器使用史</w:t>
            </w:r>
          </w:p>
        </w:tc>
        <w:tc>
          <w:tcPr>
            <w:tcW w:type="dxa" w:w="4422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过去半年哪件家务让您特别烦？能讲讲那天的情形吗？</w:t>
            </w:r>
          </w:p>
        </w:tc>
      </w:tr>
      <w:tr>
        <w:trPr>
          <w:cantSplit/>
        </w:trPr>
        <w:tc>
          <w:tcPr>
            <w:tcW w:type="dxa" w:w="1701"/>
            <w:shd w:val="clear" w:fill="F3F5F9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B 任务与优先级</w:t>
            </w:r>
          </w:p>
        </w:tc>
        <w:tc>
          <w:tcPr>
            <w:tcW w:type="dxa" w:w="2948"/>
            <w:shd w:val="clear" w:fill="F3F5F9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最希望机器人做的第一/第二件事、第一天该学会什么</w:t>
            </w:r>
          </w:p>
        </w:tc>
        <w:tc>
          <w:tcPr>
            <w:tcW w:type="dxa" w:w="4422"/>
            <w:shd w:val="clear" w:fill="F3F5F9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它下周到您家，第一天应该先学会什么？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C 信任与隐私</w:t>
            </w:r>
          </w:p>
        </w:tc>
        <w:tc>
          <w:tcPr>
            <w:tcW w:type="dxa" w:w="2948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可进入房间、数据敏感度</w:t>
            </w:r>
          </w:p>
        </w:tc>
        <w:tc>
          <w:tcPr>
            <w:tcW w:type="dxa" w:w="4422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它会记住您家的布局和习惯，您介意吗？</w:t>
            </w:r>
          </w:p>
        </w:tc>
      </w:tr>
      <w:tr>
        <w:trPr>
          <w:cantSplit/>
        </w:trPr>
        <w:tc>
          <w:tcPr>
            <w:tcW w:type="dxa" w:w="1701"/>
            <w:shd w:val="clear" w:fill="F3F5F9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D 价格与付费</w:t>
            </w:r>
          </w:p>
        </w:tc>
        <w:tc>
          <w:tcPr>
            <w:tcW w:type="dxa" w:w="2948"/>
            <w:shd w:val="clear" w:fill="F3F5F9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价格锚三选一反应、免费换回访意愿</w:t>
            </w:r>
          </w:p>
        </w:tc>
        <w:tc>
          <w:tcPr>
            <w:tcW w:type="dxa" w:w="4422"/>
            <w:shd w:val="clear" w:fill="F3F5F9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1 万买断 / 999 月租 / 149 单次，您的第一反应分别是什么？</w:t>
            </w:r>
          </w:p>
        </w:tc>
      </w:tr>
    </w:tbl>
    <w:p>
      <w:pPr>
        <w:spacing w:after="40"/>
      </w:pPr>
    </w:p>
    <w:p>
      <w:pPr>
        <w:pStyle w:val="Heading2"/>
      </w:pPr>
      <w:bookmarkStart w:id="100016" w:name="_Toc100016"/>
      <w:r>
        <w:t>6.2 问卷与诚信规则</w:t>
      </w:r>
      <w:bookmarkEnd w:id="100016"/>
    </w:p>
    <w:p>
      <w:pPr>
        <w:ind w:left="283" w:hanging="240"/>
      </w:pPr>
      <w:r>
        <w:t>• 问卷 12 题（居住类型/年龄段/价格锚/月支出上限/免费回访意愿），问卷星或腾讯问卷发放，目标 30+ 份且覆盖三类居住类型；</w:t>
      </w:r>
    </w:p>
    <w:p>
      <w:pPr>
        <w:ind w:left="283" w:hanging="240"/>
      </w:pPr>
      <w:r>
        <w:t>• 样本 ≥30 才能称“调研发现”，不足则称“初步问卷”；结果与假设相反时按真实结果报告。</w:t>
      </w:r>
    </w:p>
    <w:p>
      <w:pPr>
        <w:pStyle w:val="Heading1"/>
      </w:pPr>
      <w:bookmarkStart w:id="100017" w:name="_Toc100017"/>
      <w:r>
        <w:t>7. 结论与下一步</w:t>
      </w:r>
      <w:bookmarkEnd w:id="100017"/>
    </w:p>
    <w:p>
      <w:pPr>
        <w:ind w:firstLine="420"/>
        <w:jc w:val="both"/>
      </w:pPr>
      <w:r>
        <w:t>结论：家庭服务机器人当前的正确上市路径是“先卖服务、再卖硬件、终局订阅”。服务模式以最低门槛（约 596 元/月，按每周 1 次计）换取真实家庭数据与口碑，为硬件定价与能力订阅积累依据；硬件与订阅的定价上限分别受 BOM 结构与用户付费意愿约束，需在首批家庭验证后收敛。</w:t>
      </w:r>
    </w:p>
    <w:p>
      <w:pPr>
        <w:ind w:left="283" w:hanging="240"/>
      </w:pPr>
      <w:r>
        <w:t>• □ 发放并回收问卷 ≥30 份，更新“调研录入与图表”sheet；</w:t>
      </w:r>
    </w:p>
    <w:p>
      <w:pPr>
        <w:ind w:left="283" w:hanging="240"/>
      </w:pPr>
      <w:r>
        <w:t>• □ 完成入户访谈 ≥3 户，补充三条带原话的发现；</w:t>
      </w:r>
    </w:p>
    <w:p>
      <w:pPr>
        <w:ind w:left="283" w:hanging="240"/>
      </w:pPr>
      <w:r>
        <w:t>• □ 将本报告结论同步至 11 页汇报 PPT，并完成 5 分钟路演演练；</w:t>
      </w:r>
    </w:p>
    <w:p>
      <w:pPr>
        <w:ind w:left="283" w:hanging="240"/>
      </w:pPr>
      <w:r>
        <w:t>• □ 按 GTM 岗位四项职责（竞品报告/定价调研/用户访谈/上市评估）整理面试叙事。</w:t>
      </w:r>
    </w:p>
    <w:p>
      <w:pPr>
        <w:pStyle w:val="Heading1"/>
      </w:pPr>
      <w:bookmarkStart w:id="100018" w:name="_Toc100018"/>
      <w:r>
        <w:t>附录 A：数据锚点与来源（核实截至 2026-09-05）</w:t>
      </w:r>
      <w:bookmarkEnd w:id="100018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3061"/>
        <w:gridCol w:w="3061"/>
        <w:gridCol w:w="3061"/>
      </w:tblGrid>
      <w:tr>
        <w:trPr>
          <w:tblHeader w:val="true"/>
          <w:cantSplit/>
        </w:trPr>
        <w:tc>
          <w:tcPr>
            <w:tcW w:type="dxa" w:w="2381"/>
            <w:shd w:val="clear" w:fill="1F2A4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锚点</w:t>
            </w:r>
          </w:p>
        </w:tc>
        <w:tc>
          <w:tcPr>
            <w:tcW w:type="dxa" w:w="3628"/>
            <w:shd w:val="clear" w:fill="1F2A4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61"/>
            <w:shd w:val="clear" w:fill="1F2A4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扫地机主力价格带</w:t>
            </w:r>
          </w:p>
        </w:tc>
        <w:tc>
          <w:tcPr>
            <w:tcW w:type="dxa" w:w="3628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4000–6000 元（入门 1500–2500）</w:t>
            </w:r>
          </w:p>
        </w:tc>
        <w:tc>
          <w:tcPr>
            <w:tcW w:type="dxa" w:w="3061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新浪财经/电商到手价</w:t>
            </w:r>
          </w:p>
        </w:tc>
      </w:tr>
      <w:tr>
        <w:trPr>
          <w:cantSplit/>
        </w:trPr>
        <w:tc>
          <w:tcPr>
            <w:tcW w:type="dxa" w:w="2381"/>
            <w:shd w:val="clear" w:fill="F3F5F9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宇树 G1 / R1</w:t>
            </w:r>
          </w:p>
        </w:tc>
        <w:tc>
          <w:tcPr>
            <w:tcW w:type="dxa" w:w="3628"/>
            <w:shd w:val="clear" w:fill="F3F5F9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9.9 万起 / 2.99 万起；均价 59.3 万（2023）→约 16.8 万（2025）</w:t>
            </w:r>
          </w:p>
        </w:tc>
        <w:tc>
          <w:tcPr>
            <w:tcW w:type="dxa" w:w="3061"/>
            <w:shd w:val="clear" w:fill="F3F5F9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宇树官网、证券时报、财联社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智元全系</w:t>
            </w:r>
          </w:p>
        </w:tc>
        <w:tc>
          <w:tcPr>
            <w:tcW w:type="dxa" w:w="3628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灵犀 X2 青春版 9.8 万、远征 A2 青春版 16.8 万、精灵 G1 45 万</w:t>
            </w:r>
          </w:p>
        </w:tc>
        <w:tc>
          <w:tcPr>
            <w:tcW w:type="dxa" w:w="3061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新浪财经 2025-08-18</w:t>
            </w:r>
          </w:p>
        </w:tc>
      </w:tr>
      <w:tr>
        <w:trPr>
          <w:cantSplit/>
        </w:trPr>
        <w:tc>
          <w:tcPr>
            <w:tcW w:type="dxa" w:w="2381"/>
            <w:shd w:val="clear" w:fill="F3F5F9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银河通用</w:t>
            </w:r>
          </w:p>
        </w:tc>
        <w:tc>
          <w:tcPr>
            <w:tcW w:type="dxa" w:w="3628"/>
            <w:shd w:val="clear" w:fill="F3F5F9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2026.3 融资 25 亿元；年销约 150 台；签约约 100 家智慧门店</w:t>
            </w:r>
          </w:p>
        </w:tc>
        <w:tc>
          <w:tcPr>
            <w:tcW w:type="dxa" w:w="3061"/>
            <w:shd w:val="clear" w:fill="F3F5F9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人民网 2026-03-03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自变量机器人</w:t>
            </w:r>
          </w:p>
        </w:tc>
        <w:tc>
          <w:tcPr>
            <w:tcW w:type="dxa" w:w="3628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B 轮近 20 亿元（小米战投+红杉），估值超 200 亿</w:t>
            </w:r>
          </w:p>
        </w:tc>
        <w:tc>
          <w:tcPr>
            <w:tcW w:type="dxa" w:w="3061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新浪财经 2026-04</w:t>
            </w:r>
          </w:p>
        </w:tc>
      </w:tr>
      <w:tr>
        <w:trPr>
          <w:cantSplit/>
        </w:trPr>
        <w:tc>
          <w:tcPr>
            <w:tcW w:type="dxa" w:w="2381"/>
            <w:shd w:val="clear" w:fill="F3F5F9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自变量 × 58到家</w:t>
            </w:r>
          </w:p>
        </w:tc>
        <w:tc>
          <w:tcPr>
            <w:tcW w:type="dxa" w:w="3628"/>
            <w:shd w:val="clear" w:fill="F3F5F9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机器人+阿姨上门保洁 149 元/次（约 3 小时）</w:t>
            </w:r>
          </w:p>
        </w:tc>
        <w:tc>
          <w:tcPr>
            <w:tcW w:type="dxa" w:w="3061"/>
            <w:shd w:val="clear" w:fill="F3F5F9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深圳新闻网 2026-04-22、品玩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特斯拉 FSD</w:t>
            </w:r>
          </w:p>
        </w:tc>
        <w:tc>
          <w:tcPr>
            <w:tcW w:type="dxa" w:w="3628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中国买断 6.4 万元于 2026.2 起取消、转订阅；美国订阅 99 美元/月</w:t>
            </w:r>
          </w:p>
        </w:tc>
        <w:tc>
          <w:tcPr>
            <w:tcW w:type="dxa" w:w="3061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财联社</w:t>
            </w:r>
          </w:p>
        </w:tc>
      </w:tr>
      <w:tr>
        <w:trPr>
          <w:cantSplit/>
        </w:trPr>
        <w:tc>
          <w:tcPr>
            <w:tcW w:type="dxa" w:w="2381"/>
            <w:shd w:val="clear" w:fill="F3F5F9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人形 BOM 结构</w:t>
            </w:r>
          </w:p>
        </w:tc>
        <w:tc>
          <w:tcPr>
            <w:tcW w:type="dxa" w:w="3628"/>
            <w:shd w:val="clear" w:fill="F3F5F9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执行器总成约 35%；丝杠 9–19%、减速器 8–13%</w:t>
            </w:r>
          </w:p>
        </w:tc>
        <w:tc>
          <w:tcPr>
            <w:tcW w:type="dxa" w:w="3061"/>
            <w:shd w:val="clear" w:fill="F3F5F9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财联社、东海证券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中国扫地机渗透率</w:t>
            </w:r>
          </w:p>
        </w:tc>
        <w:tc>
          <w:tcPr>
            <w:tcW w:type="dxa" w:w="3628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2021–2024 停滞在 5–6%；美国 20.5%、欧洲约 15%</w:t>
            </w:r>
          </w:p>
        </w:tc>
        <w:tc>
          <w:tcPr>
            <w:tcW w:type="dxa" w:w="3061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欧睿国际、观研报告网、21 财经</w:t>
            </w:r>
          </w:p>
        </w:tc>
      </w:tr>
      <w:tr>
        <w:trPr>
          <w:cantSplit/>
        </w:trPr>
        <w:tc>
          <w:tcPr>
            <w:tcW w:type="dxa" w:w="2381"/>
            <w:shd w:val="clear" w:fill="F3F5F9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上门保洁（纯人工）</w:t>
            </w:r>
          </w:p>
        </w:tc>
        <w:tc>
          <w:tcPr>
            <w:tcW w:type="dxa" w:w="3628"/>
            <w:shd w:val="clear" w:fill="F3F5F9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约 50–100 元/小时</w:t>
            </w:r>
          </w:p>
        </w:tc>
        <w:tc>
          <w:tcPr>
            <w:tcW w:type="dxa" w:w="3061"/>
            <w:shd w:val="clear" w:fill="F3F5F9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58到家/天鹅到家</w:t>
            </w:r>
          </w:p>
        </w:tc>
      </w:tr>
    </w:tbl>
    <w:p>
      <w:pPr>
        <w:spacing w:after="40"/>
      </w:pPr>
    </w:p>
    <w:p>
      <w:pPr>
        <w:pStyle w:val="Heading1"/>
      </w:pPr>
      <w:bookmarkStart w:id="100019" w:name="_Toc100019"/>
      <w:r>
        <w:t>附录 B：事实核查质检清单（十项）</w:t>
      </w:r>
      <w:bookmarkEnd w:id="100019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4592"/>
        <w:gridCol w:w="4592"/>
      </w:tblGrid>
      <w:tr>
        <w:trPr>
          <w:tblHeader w:val="true"/>
          <w:cantSplit/>
        </w:trPr>
        <w:tc>
          <w:tcPr>
            <w:tcW w:type="dxa" w:w="4535"/>
            <w:shd w:val="clear" w:fill="1F2A4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质检项</w:t>
            </w:r>
          </w:p>
        </w:tc>
        <w:tc>
          <w:tcPr>
            <w:tcW w:type="dxa" w:w="4535"/>
            <w:shd w:val="clear" w:fill="1F2A4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执行情况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关键数字 ≥2–3 个独立来源交叉验证</w:t>
            </w:r>
          </w:p>
        </w:tc>
        <w:tc>
          <w:tcPr>
            <w:tcW w:type="dxa" w:w="4535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已执行：渗透率、价格、融资额均有 ≥2 来源</w:t>
            </w:r>
          </w:p>
        </w:tc>
      </w:tr>
      <w:tr>
        <w:trPr>
          <w:cantSplit/>
        </w:trPr>
        <w:tc>
          <w:tcPr>
            <w:tcW w:type="dxa" w:w="4535"/>
            <w:shd w:val="clear" w:fill="F3F5F9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全部数据点带来源与核实日期</w:t>
            </w:r>
          </w:p>
        </w:tc>
        <w:tc>
          <w:tcPr>
            <w:tcW w:type="dxa" w:w="4535"/>
            <w:shd w:val="clear" w:fill="F3F5F9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已执行：见附录 A 与配套 Excel“数据来源清单”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方法论与假设显式披露</w:t>
            </w:r>
          </w:p>
        </w:tc>
        <w:tc>
          <w:tcPr>
            <w:tcW w:type="dxa" w:w="4535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已执行：第 2 章与表 5-1 假设列</w:t>
            </w:r>
          </w:p>
        </w:tc>
      </w:tr>
      <w:tr>
        <w:trPr>
          <w:cantSplit/>
        </w:trPr>
        <w:tc>
          <w:tcPr>
            <w:tcW w:type="dxa" w:w="4535"/>
            <w:shd w:val="clear" w:fill="F3F5F9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数据标注时效（核实日期）</w:t>
            </w:r>
          </w:p>
        </w:tc>
        <w:tc>
          <w:tcPr>
            <w:tcW w:type="dxa" w:w="4535"/>
            <w:shd w:val="clear" w:fill="F3F5F9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已执行：2026-09-05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保守估计原则</w:t>
            </w:r>
          </w:p>
        </w:tc>
        <w:tc>
          <w:tcPr>
            <w:tcW w:type="dxa" w:w="4535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已执行：TAM 仅作量级判断，渗透率取低端口径</w:t>
            </w:r>
          </w:p>
        </w:tc>
      </w:tr>
      <w:tr>
        <w:trPr>
          <w:cantSplit/>
        </w:trPr>
        <w:tc>
          <w:tcPr>
            <w:tcW w:type="dxa" w:w="4535"/>
            <w:shd w:val="clear" w:fill="F3F5F9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承认空白与置信度</w:t>
            </w:r>
          </w:p>
        </w:tc>
        <w:tc>
          <w:tcPr>
            <w:tcW w:type="dxa" w:w="4535"/>
            <w:shd w:val="clear" w:fill="F3F5F9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已执行：第 2.3 局限性声明；用户侧结论标注待验证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竞品覆盖完整性</w:t>
            </w:r>
          </w:p>
        </w:tc>
        <w:tc>
          <w:tcPr>
            <w:tcW w:type="dxa" w:w="4535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已执行：8 家公司 + 自选补充行</w:t>
            </w:r>
          </w:p>
        </w:tc>
      </w:tr>
      <w:tr>
        <w:trPr>
          <w:cantSplit/>
        </w:trPr>
        <w:tc>
          <w:tcPr>
            <w:tcW w:type="dxa" w:w="4535"/>
            <w:shd w:val="clear" w:fill="F3F5F9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建议可执行且有依据</w:t>
            </w:r>
          </w:p>
        </w:tc>
        <w:tc>
          <w:tcPr>
            <w:tcW w:type="dxa" w:w="4535"/>
            <w:shd w:val="clear" w:fill="F3F5F9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已执行：第 5.2/7 章均给出判定指标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报告标注“最后更新”日期</w:t>
            </w:r>
          </w:p>
        </w:tc>
        <w:tc>
          <w:tcPr>
            <w:tcW w:type="dxa" w:w="4535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已执行：标题块</w:t>
            </w:r>
          </w:p>
        </w:tc>
      </w:tr>
      <w:tr>
        <w:trPr>
          <w:cantSplit/>
        </w:trPr>
        <w:tc>
          <w:tcPr>
            <w:tcW w:type="dxa" w:w="4535"/>
            <w:shd w:val="clear" w:fill="F3F5F9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AI 使用披露</w:t>
            </w:r>
          </w:p>
        </w:tc>
        <w:tc>
          <w:tcPr>
            <w:tcW w:type="dxa" w:w="4535"/>
            <w:shd w:val="clear" w:fill="F3F5F9"/>
          </w:tcPr>
          <w:p>
            <w:pPr>
              <w:spacing w:line="276" w:lineRule="auto"/>
            </w:pPr>
            <w:r>
              <w:rPr>
                <w:rFonts w:ascii="微软雅黑" w:hAnsi="微软雅黑" w:eastAsia="微软雅黑"/>
                <w:sz w:val="18"/>
              </w:rPr>
              <w:t>已执行：方法论参考开源市场研究框架，AI 仅用于结构化整理与成文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/>
        <w:color w:val="7A8194"/>
        <w:sz w:val="18"/>
      </w:rPr>
      <w:t xml:space="preserve">第 </w:t>
    </w:r>
    <w:fldSimple w:instr="PAGE \* arabic \* MERGEFORMAT">
      <w:r>
        <w:t>1</w:t>
      </w:r>
    </w:fldSimple>
    <w:r>
      <w:rPr>
        <w:rFonts w:ascii="微软雅黑" w:hAnsi="微软雅黑"/>
        <w:color w:val="7A8194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2A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2A4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  <w:style xmlns:w="http://schemas.openxmlformats.org/wordprocessingml/2006/main" w:type="character" w:styleId="Hyperlink">
    <w:name w:val="Hyperlink"/>
    <w:uiPriority w:val="99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