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table below compares promotions that were used in the model with additional promotions that were reviewed but not included. Promotions were kept when their relationship with sales or quantity movement was stronger in the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Wonderful Day</w:t>
            </w:r>
          </w:p>
        </w:tc>
        <w:tc>
          <w:tcPr>
            <w:tcW w:type="dxa" w:w="2200"/>
          </w:tcPr>
          <w:p>
            <w:pPr>
              <w:jc w:val="center"/>
            </w:pPr>
            <w:r>
              <w:rPr>
                <w:rFonts w:ascii="Arial" w:hAnsi="Arial"/>
                <w:sz w:val="20"/>
              </w:rPr>
              <w:t>42.5%</w:t>
            </w:r>
          </w:p>
        </w:tc>
        <w:tc>
          <w:tcPr>
            <w:tcW w:type="dxa" w:w="2400"/>
          </w:tcPr>
          <w:p>
            <w:pPr>
              <w:jc w:val="center"/>
            </w:pPr>
            <w:r>
              <w:rPr>
                <w:rFonts w:ascii="Arial" w:hAnsi="Arial"/>
                <w:sz w:val="20"/>
              </w:rPr>
              <w:t>17.7%</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Rakuten Fashion sale</w:t>
            </w:r>
          </w:p>
        </w:tc>
        <w:tc>
          <w:tcPr>
            <w:tcW w:type="dxa" w:w="2200"/>
          </w:tcPr>
          <w:p>
            <w:pPr>
              <w:jc w:val="center"/>
            </w:pPr>
            <w:r>
              <w:rPr>
                <w:rFonts w:ascii="Arial" w:hAnsi="Arial"/>
                <w:sz w:val="20"/>
              </w:rPr>
              <w:t>-12.5%</w:t>
            </w:r>
          </w:p>
        </w:tc>
        <w:tc>
          <w:tcPr>
            <w:tcW w:type="dxa" w:w="2400"/>
          </w:tcPr>
          <w:p>
            <w:pPr>
              <w:jc w:val="center"/>
            </w:pPr>
            <w:r>
              <w:rPr>
                <w:rFonts w:ascii="Arial" w:hAnsi="Arial"/>
                <w:sz w:val="20"/>
              </w:rPr>
              <w:t>-7.0%</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Sports win campaign</w:t>
            </w:r>
          </w:p>
        </w:tc>
        <w:tc>
          <w:tcPr>
            <w:tcW w:type="dxa" w:w="2200"/>
          </w:tcPr>
          <w:p>
            <w:pPr>
              <w:jc w:val="center"/>
            </w:pPr>
            <w:r>
              <w:rPr>
                <w:rFonts w:ascii="Arial" w:hAnsi="Arial"/>
                <w:sz w:val="20"/>
              </w:rPr>
              <w:t>33.1%</w:t>
            </w:r>
          </w:p>
        </w:tc>
        <w:tc>
          <w:tcPr>
            <w:tcW w:type="dxa" w:w="2400"/>
          </w:tcPr>
          <w:p>
            <w:pPr>
              <w:jc w:val="center"/>
            </w:pPr>
            <w:r>
              <w:rPr>
                <w:rFonts w:ascii="Arial" w:hAnsi="Arial"/>
                <w:sz w:val="20"/>
              </w:rPr>
              <w:t>11.4%</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18th Ichiba Day</w:t>
            </w:r>
          </w:p>
        </w:tc>
        <w:tc>
          <w:tcPr>
            <w:tcW w:type="dxa" w:w="2200"/>
          </w:tcPr>
          <w:p>
            <w:pPr>
              <w:jc w:val="center"/>
            </w:pPr>
            <w:r>
              <w:rPr>
                <w:rFonts w:ascii="Arial" w:hAnsi="Arial"/>
                <w:sz w:val="20"/>
              </w:rPr>
              <w:t>-10.3%</w:t>
            </w:r>
          </w:p>
        </w:tc>
        <w:tc>
          <w:tcPr>
            <w:tcW w:type="dxa" w:w="2400"/>
          </w:tcPr>
          <w:p>
            <w:pPr>
              <w:jc w:val="center"/>
            </w:pPr>
            <w:r>
              <w:rPr>
                <w:rFonts w:ascii="Arial" w:hAnsi="Arial"/>
                <w:sz w:val="20"/>
              </w:rPr>
              <w:t>-5.5%</w:t>
            </w:r>
          </w:p>
        </w:tc>
        <w:tc>
          <w:tcPr>
            <w:tcW w:type="dxa" w:w="1560"/>
          </w:tcPr>
          <w:p>
            <w:pPr>
              <w:jc w:val="center"/>
            </w:pPr>
            <w:r>
              <w:rPr>
                <w:rFonts w:ascii="Arial" w:hAnsi="Arial"/>
                <w:sz w:val="20"/>
              </w:rPr>
              <w:t>No</w:t>
            </w:r>
          </w:p>
        </w:tc>
      </w:tr>
    </w:tbl>
    <w:p/>
    <w:p>
      <w:r>
        <w:t>These results suggest that promotion timing and promotion type are important for predicting fluctuations, especially for quantity sold and inventory planning. Promotions marked "No" were still analyzed, but their measured relationship was weaker or less consistent, so they were not used as primary model features.</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Next Steps Plan</w:t>
      </w:r>
    </w:p>
    <w:p>
      <w:pPr>
        <w:pStyle w:val="ListNumber"/>
        <w:spacing w:after="80"/>
      </w:pPr>
      <w:r>
        <w:t>Build the next version of the model to predict future client sales, not only backtest past sales.</w:t>
      </w:r>
    </w:p>
    <w:p>
      <w:pPr>
        <w:pStyle w:val="ListNumber"/>
        <w:spacing w:after="80"/>
      </w:pPr>
      <w:r>
        <w:t>Add client-specific inputs such as store, product, category, historical sales, quantity sold, and promotion participation.</w:t>
      </w:r>
    </w:p>
    <w:p>
      <w:pPr>
        <w:pStyle w:val="ListNumber"/>
        <w:spacing w:after="80"/>
      </w:pPr>
      <w:r>
        <w:t>Add future-known business drivers, especially Rakuten promotion calendar dates, point multipliers, coupons, discounts, and holiday timing.</w:t>
      </w:r>
    </w:p>
    <w:p>
      <w:pPr>
        <w:pStyle w:val="ListNumber"/>
        <w:spacing w:after="80"/>
      </w:pPr>
      <w:r>
        <w:t>Add product and pricing details so the model can forecast at a more useful item or client level.</w:t>
      </w:r>
    </w:p>
    <w:p>
      <w:pPr>
        <w:pStyle w:val="ListNumber"/>
        <w:spacing w:after="80"/>
      </w:pPr>
      <w:r>
        <w:t>Validate the future forecast by training on earlier periods and testing on later unseen periods before using it for client planning.</w:t>
      </w:r>
    </w:p>
    <w:p>
      <w:pPr>
        <w:pStyle w:val="ListNumber"/>
        <w:spacing w:after="80"/>
      </w:pPr>
      <w:r>
        <w:t>Turn the output into a client-ready planning view that shows predicted sales, units to prepare, confidence range, and categories/items that need caution.</w:t>
      </w:r>
    </w:p>
    <w:p>
      <w:pPr>
        <w:pStyle w:val="ListNumber"/>
        <w:spacing w:after="80"/>
      </w:pPr>
      <w:r>
        <w:t>Use this current dashboard as the backtesting and explanation layer for why the future forecasting model can be trusted.</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