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eastAsia="Arial"/>
          <w:b w:val="0"/>
          <w:color w:val="000000"/>
          <w:sz w:val="52"/>
        </w:rPr>
        <w:t>TENKI Rakuten Sales Prediction Model</w:t>
      </w:r>
    </w:p>
    <w:p>
      <w:pPr>
        <w:pStyle w:val="Heading1"/>
      </w:pPr>
      <w:r>
        <w:t>Executive Summary</w:t>
      </w:r>
    </w:p>
    <w:p>
      <w:r>
        <w:t>This project builds an interactive model dashboard for analyzing and predicting historical Rakuten sales performance. The model estimates both sales value and quantity sold by learning from seasonality, Japanese holidays, Rakuten promotion events, and category-level sales behavior. The main business goal is to move toward a future-facing tool that helps sellers prepare inventory before major demand changes, especially during Rakuten campaigns such as Shopping Marathon, Super Sale, Black Friday, Thanksgiving Festival, and 5/0 point days.</w:t>
      </w:r>
    </w:p>
    <w:p>
      <w:pPr>
        <w:pStyle w:val="ListBullet"/>
        <w:spacing w:after="80"/>
      </w:pPr>
      <w:r>
        <w:rPr>
          <w:rFonts w:ascii="Arial" w:hAnsi="Arial"/>
          <w:b/>
        </w:rPr>
        <w:t xml:space="preserve">Interactive model link: </w:t>
      </w:r>
      <w:r>
        <w:rPr>
          <w:rFonts w:ascii="Arial" w:hAnsi="Arial"/>
          <w:b/>
          <w:color w:val="1155CC"/>
          <w:u w:val="single"/>
        </w:rPr>
        <w:t>https://jasminehou07.github.io/tenki-past-sales-model/</w:t>
      </w:r>
    </w:p>
    <w:p>
      <w:pPr>
        <w:pStyle w:val="Heading1"/>
      </w:pPr>
      <w:r>
        <w:t>Business Question</w:t>
      </w:r>
    </w:p>
    <w:p>
      <w:r>
        <w:t>The model is designed to answer whether historical Rakuten data can estimate:</w:t>
      </w:r>
    </w:p>
    <w:p>
      <w:pPr>
        <w:pStyle w:val="ListBullet"/>
        <w:spacing w:after="80"/>
      </w:pPr>
      <w:r>
        <w:t>How much sales volume a seller should expect during a selected period.</w:t>
      </w:r>
    </w:p>
    <w:p>
      <w:pPr>
        <w:pStyle w:val="ListBullet"/>
        <w:spacing w:after="80"/>
      </w:pPr>
      <w:r>
        <w:t>How many units the seller should prepare to sell.</w:t>
      </w:r>
    </w:p>
    <w:p>
      <w:pPr>
        <w:pStyle w:val="ListBullet"/>
        <w:spacing w:after="80"/>
      </w:pPr>
      <w:r>
        <w:t>Which promotions appear to have the strongest demand impact.</w:t>
      </w:r>
    </w:p>
    <w:p>
      <w:pPr>
        <w:pStyle w:val="ListBullet"/>
        <w:spacing w:after="80"/>
      </w:pPr>
      <w:r>
        <w:t>Which categories are currently less reliable and need more data or better features.</w:t>
      </w:r>
    </w:p>
    <w:p>
      <w:pPr>
        <w:pStyle w:val="Heading1"/>
      </w:pPr>
      <w:r>
        <w:t>Current Model Performance</w:t>
      </w:r>
    </w:p>
    <w:tbl>
      <w:tblPr>
        <w:tblStyle w:val="TableGrid"/>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1700"/>
        <w:gridCol w:w="1700"/>
        <w:gridCol w:w="2960"/>
      </w:tblGrid>
      <w:tr>
        <w:tc>
          <w:tcPr>
            <w:tcW w:type="dxa" w:w="3000"/>
            <w:vAlign w:val="center"/>
            <w:shd w:fill="F8F9FA"/>
          </w:tcPr>
          <w:p>
            <w:pPr>
              <w:jc w:val="left"/>
            </w:pPr>
            <w:r>
              <w:rPr>
                <w:rFonts w:ascii="Arial" w:hAnsi="Arial"/>
                <w:b/>
                <w:sz w:val="20"/>
              </w:rPr>
              <w:t>Target</w:t>
            </w:r>
          </w:p>
        </w:tc>
        <w:tc>
          <w:tcPr>
            <w:tcW w:type="dxa" w:w="1700"/>
            <w:vAlign w:val="center"/>
            <w:shd w:fill="F8F9FA"/>
          </w:tcPr>
          <w:p>
            <w:pPr>
              <w:jc w:val="center"/>
            </w:pPr>
            <w:r>
              <w:rPr>
                <w:rFonts w:ascii="Arial" w:hAnsi="Arial"/>
                <w:b/>
                <w:sz w:val="20"/>
              </w:rPr>
              <w:t>R2</w:t>
            </w:r>
          </w:p>
        </w:tc>
        <w:tc>
          <w:tcPr>
            <w:tcW w:type="dxa" w:w="1700"/>
            <w:vAlign w:val="center"/>
            <w:shd w:fill="F8F9FA"/>
          </w:tcPr>
          <w:p>
            <w:pPr>
              <w:jc w:val="center"/>
            </w:pPr>
            <w:r>
              <w:rPr>
                <w:rFonts w:ascii="Arial" w:hAnsi="Arial"/>
                <w:b/>
                <w:sz w:val="20"/>
              </w:rPr>
              <w:t>WAPE</w:t>
            </w:r>
          </w:p>
        </w:tc>
        <w:tc>
          <w:tcPr>
            <w:tcW w:type="dxa" w:w="2960"/>
            <w:vAlign w:val="center"/>
            <w:shd w:fill="F8F9FA"/>
          </w:tcPr>
          <w:p>
            <w:pPr>
              <w:jc w:val="center"/>
            </w:pPr>
            <w:r>
              <w:rPr>
                <w:rFonts w:ascii="Arial" w:hAnsi="Arial"/>
                <w:b/>
                <w:sz w:val="20"/>
              </w:rPr>
              <w:t>MAE</w:t>
            </w:r>
          </w:p>
        </w:tc>
      </w:tr>
      <w:tr>
        <w:tc>
          <w:tcPr>
            <w:tcW w:type="dxa" w:w="3000"/>
          </w:tcPr>
          <w:p>
            <w:pPr>
              <w:jc w:val="left"/>
            </w:pPr>
            <w:r>
              <w:rPr>
                <w:rFonts w:ascii="Arial" w:hAnsi="Arial"/>
                <w:sz w:val="20"/>
              </w:rPr>
              <w:t>Sales value</w:t>
            </w:r>
          </w:p>
        </w:tc>
        <w:tc>
          <w:tcPr>
            <w:tcW w:type="dxa" w:w="1700"/>
          </w:tcPr>
          <w:p>
            <w:pPr>
              <w:jc w:val="center"/>
            </w:pPr>
            <w:r>
              <w:rPr>
                <w:rFonts w:ascii="Arial" w:hAnsi="Arial"/>
                <w:sz w:val="20"/>
              </w:rPr>
              <w:t>0.855</w:t>
            </w:r>
          </w:p>
        </w:tc>
        <w:tc>
          <w:tcPr>
            <w:tcW w:type="dxa" w:w="1700"/>
          </w:tcPr>
          <w:p>
            <w:pPr>
              <w:jc w:val="center"/>
            </w:pPr>
            <w:r>
              <w:rPr>
                <w:rFonts w:ascii="Arial" w:hAnsi="Arial"/>
                <w:sz w:val="20"/>
              </w:rPr>
              <w:t>27.7%</w:t>
            </w:r>
          </w:p>
        </w:tc>
        <w:tc>
          <w:tcPr>
            <w:tcW w:type="dxa" w:w="2960"/>
          </w:tcPr>
          <w:p>
            <w:pPr>
              <w:jc w:val="center"/>
            </w:pPr>
            <w:r>
              <w:rPr>
                <w:rFonts w:ascii="Arial" w:hAnsi="Arial"/>
                <w:sz w:val="20"/>
              </w:rPr>
              <w:t>¥108,590</w:t>
            </w:r>
          </w:p>
        </w:tc>
      </w:tr>
      <w:tr>
        <w:tc>
          <w:tcPr>
            <w:tcW w:type="dxa" w:w="3000"/>
          </w:tcPr>
          <w:p>
            <w:pPr>
              <w:jc w:val="left"/>
            </w:pPr>
            <w:r>
              <w:rPr>
                <w:rFonts w:ascii="Arial" w:hAnsi="Arial"/>
                <w:sz w:val="20"/>
              </w:rPr>
              <w:t>Quantity sold</w:t>
            </w:r>
          </w:p>
        </w:tc>
        <w:tc>
          <w:tcPr>
            <w:tcW w:type="dxa" w:w="1700"/>
          </w:tcPr>
          <w:p>
            <w:pPr>
              <w:jc w:val="center"/>
            </w:pPr>
            <w:r>
              <w:rPr>
                <w:rFonts w:ascii="Arial" w:hAnsi="Arial"/>
                <w:sz w:val="20"/>
              </w:rPr>
              <w:t>0.861</w:t>
            </w:r>
          </w:p>
        </w:tc>
        <w:tc>
          <w:tcPr>
            <w:tcW w:type="dxa" w:w="1700"/>
          </w:tcPr>
          <w:p>
            <w:pPr>
              <w:jc w:val="center"/>
            </w:pPr>
            <w:r>
              <w:rPr>
                <w:rFonts w:ascii="Arial" w:hAnsi="Arial"/>
                <w:sz w:val="20"/>
              </w:rPr>
              <w:t>23.5%</w:t>
            </w:r>
          </w:p>
        </w:tc>
        <w:tc>
          <w:tcPr>
            <w:tcW w:type="dxa" w:w="2960"/>
          </w:tcPr>
          <w:p>
            <w:pPr>
              <w:jc w:val="center"/>
            </w:pPr>
            <w:r>
              <w:rPr>
                <w:rFonts w:ascii="Arial" w:hAnsi="Arial"/>
                <w:sz w:val="20"/>
              </w:rPr>
              <w:t>13.3 units</w:t>
            </w:r>
          </w:p>
        </w:tc>
      </w:tr>
    </w:tbl>
    <w:p/>
    <w:p>
      <w:r>
        <w:t>Interpretation:</w:t>
      </w:r>
    </w:p>
    <w:p>
      <w:pPr>
        <w:pStyle w:val="ListBullet"/>
        <w:spacing w:after="80"/>
      </w:pPr>
      <w:r>
        <w:t>R2 shows how much of the sales pattern the model explains. Values around 0.85 mean the model captures a large share of the broad pattern.</w:t>
      </w:r>
    </w:p>
    <w:p>
      <w:pPr>
        <w:pStyle w:val="ListBullet"/>
        <w:spacing w:after="80"/>
      </w:pPr>
      <w:r>
        <w:t>WAPE shows weighted percent error. Sales WAPE of 27.7% means total prediction error is about 27.7% of actual sales volume in the holdout period.</w:t>
      </w:r>
    </w:p>
    <w:p>
      <w:pPr>
        <w:pStyle w:val="ListBullet"/>
        <w:spacing w:after="80"/>
      </w:pPr>
      <w:r>
        <w:t>MAE shows the average absolute prediction miss per row. For quantity, the model misses by about 13 units per prediction row on average.</w:t>
      </w:r>
    </w:p>
    <w:p>
      <w:pPr>
        <w:pStyle w:val="Heading1"/>
      </w:pPr>
      <w:r>
        <w:t>Data and Validation Setup</w:t>
      </w:r>
    </w:p>
    <w:tbl>
      <w:tblPr>
        <w:tblStyle w:val="TableGrid"/>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500"/>
        <w:gridCol w:w="5860"/>
      </w:tblGrid>
      <w:tr>
        <w:tc>
          <w:tcPr>
            <w:tcW w:type="dxa" w:w="3500"/>
            <w:vAlign w:val="center"/>
            <w:shd w:fill="F8F9FA"/>
          </w:tcPr>
          <w:p>
            <w:pPr>
              <w:jc w:val="left"/>
            </w:pPr>
            <w:r>
              <w:rPr>
                <w:rFonts w:ascii="Arial" w:hAnsi="Arial"/>
                <w:b/>
                <w:sz w:val="20"/>
              </w:rPr>
              <w:t>Detail</w:t>
            </w:r>
          </w:p>
        </w:tc>
        <w:tc>
          <w:tcPr>
            <w:tcW w:type="dxa" w:w="5860"/>
            <w:vAlign w:val="center"/>
            <w:shd w:fill="F8F9FA"/>
          </w:tcPr>
          <w:p>
            <w:pPr>
              <w:jc w:val="center"/>
            </w:pPr>
            <w:r>
              <w:rPr>
                <w:rFonts w:ascii="Arial" w:hAnsi="Arial"/>
                <w:b/>
                <w:sz w:val="20"/>
              </w:rPr>
              <w:t>Value</w:t>
            </w:r>
          </w:p>
        </w:tc>
      </w:tr>
      <w:tr>
        <w:tc>
          <w:tcPr>
            <w:tcW w:type="dxa" w:w="3500"/>
          </w:tcPr>
          <w:p>
            <w:pPr>
              <w:jc w:val="left"/>
            </w:pPr>
            <w:r>
              <w:rPr>
                <w:rFonts w:ascii="Arial" w:hAnsi="Arial"/>
                <w:sz w:val="20"/>
              </w:rPr>
              <w:t>Full data range</w:t>
            </w:r>
          </w:p>
        </w:tc>
        <w:tc>
          <w:tcPr>
            <w:tcW w:type="dxa" w:w="5860"/>
          </w:tcPr>
          <w:p>
            <w:pPr>
              <w:jc w:val="center"/>
            </w:pPr>
            <w:r>
              <w:rPr>
                <w:rFonts w:ascii="Arial" w:hAnsi="Arial"/>
                <w:sz w:val="20"/>
              </w:rPr>
              <w:t>2018-10-29 to 2026-05-31</w:t>
            </w:r>
          </w:p>
        </w:tc>
      </w:tr>
      <w:tr>
        <w:tc>
          <w:tcPr>
            <w:tcW w:type="dxa" w:w="3500"/>
          </w:tcPr>
          <w:p>
            <w:pPr>
              <w:jc w:val="left"/>
            </w:pPr>
            <w:r>
              <w:rPr>
                <w:rFonts w:ascii="Arial" w:hAnsi="Arial"/>
                <w:sz w:val="20"/>
              </w:rPr>
              <w:t>Backtest period</w:t>
            </w:r>
          </w:p>
        </w:tc>
        <w:tc>
          <w:tcPr>
            <w:tcW w:type="dxa" w:w="5860"/>
          </w:tcPr>
          <w:p>
            <w:pPr>
              <w:jc w:val="center"/>
            </w:pPr>
            <w:r>
              <w:rPr>
                <w:rFonts w:ascii="Arial" w:hAnsi="Arial"/>
                <w:sz w:val="20"/>
              </w:rPr>
              <w:t>2025-12-03 to 2026-05-31</w:t>
            </w:r>
          </w:p>
        </w:tc>
      </w:tr>
      <w:tr>
        <w:tc>
          <w:tcPr>
            <w:tcW w:type="dxa" w:w="3500"/>
          </w:tcPr>
          <w:p>
            <w:pPr>
              <w:jc w:val="left"/>
            </w:pPr>
            <w:r>
              <w:rPr>
                <w:rFonts w:ascii="Arial" w:hAnsi="Arial"/>
                <w:sz w:val="20"/>
              </w:rPr>
              <w:t>Training rows</w:t>
            </w:r>
          </w:p>
        </w:tc>
        <w:tc>
          <w:tcPr>
            <w:tcW w:type="dxa" w:w="5860"/>
          </w:tcPr>
          <w:p>
            <w:pPr>
              <w:jc w:val="center"/>
            </w:pPr>
            <w:r>
              <w:rPr>
                <w:rFonts w:ascii="Arial" w:hAnsi="Arial"/>
                <w:sz w:val="20"/>
              </w:rPr>
              <w:t>222,033</w:t>
            </w:r>
          </w:p>
        </w:tc>
      </w:tr>
      <w:tr>
        <w:tc>
          <w:tcPr>
            <w:tcW w:type="dxa" w:w="3500"/>
          </w:tcPr>
          <w:p>
            <w:pPr>
              <w:jc w:val="left"/>
            </w:pPr>
            <w:r>
              <w:rPr>
                <w:rFonts w:ascii="Arial" w:hAnsi="Arial"/>
                <w:sz w:val="20"/>
              </w:rPr>
              <w:t>Holdout rows</w:t>
            </w:r>
          </w:p>
        </w:tc>
        <w:tc>
          <w:tcPr>
            <w:tcW w:type="dxa" w:w="5860"/>
          </w:tcPr>
          <w:p>
            <w:pPr>
              <w:jc w:val="center"/>
            </w:pPr>
            <w:r>
              <w:rPr>
                <w:rFonts w:ascii="Arial" w:hAnsi="Arial"/>
                <w:sz w:val="20"/>
              </w:rPr>
              <w:t>17,897</w:t>
            </w:r>
          </w:p>
        </w:tc>
      </w:tr>
      <w:tr>
        <w:tc>
          <w:tcPr>
            <w:tcW w:type="dxa" w:w="3500"/>
          </w:tcPr>
          <w:p>
            <w:pPr>
              <w:jc w:val="left"/>
            </w:pPr>
            <w:r>
              <w:rPr>
                <w:rFonts w:ascii="Arial" w:hAnsi="Arial"/>
                <w:sz w:val="20"/>
              </w:rPr>
              <w:t>Genres tested</w:t>
            </w:r>
          </w:p>
        </w:tc>
        <w:tc>
          <w:tcPr>
            <w:tcW w:type="dxa" w:w="5860"/>
          </w:tcPr>
          <w:p>
            <w:pPr>
              <w:jc w:val="center"/>
            </w:pPr>
            <w:r>
              <w:rPr>
                <w:rFonts w:ascii="Arial" w:hAnsi="Arial"/>
                <w:sz w:val="20"/>
              </w:rPr>
              <w:t>100</w:t>
            </w:r>
          </w:p>
        </w:tc>
      </w:tr>
      <w:tr>
        <w:tc>
          <w:tcPr>
            <w:tcW w:type="dxa" w:w="3500"/>
          </w:tcPr>
          <w:p>
            <w:pPr>
              <w:jc w:val="left"/>
            </w:pPr>
            <w:r>
              <w:rPr>
                <w:rFonts w:ascii="Arial" w:hAnsi="Arial"/>
                <w:sz w:val="20"/>
              </w:rPr>
              <w:t>Model split</w:t>
            </w:r>
          </w:p>
        </w:tc>
        <w:tc>
          <w:tcPr>
            <w:tcW w:type="dxa" w:w="5860"/>
          </w:tcPr>
          <w:p>
            <w:pPr>
              <w:jc w:val="center"/>
            </w:pPr>
            <w:r>
              <w:rPr>
                <w:rFonts w:ascii="Arial" w:hAnsi="Arial"/>
                <w:sz w:val="20"/>
              </w:rPr>
              <w:t>Pre-2024 model and 2024+ model</w:t>
            </w:r>
          </w:p>
        </w:tc>
      </w:tr>
      <w:tr>
        <w:tc>
          <w:tcPr>
            <w:tcW w:type="dxa" w:w="3500"/>
          </w:tcPr>
          <w:p>
            <w:pPr>
              <w:jc w:val="left"/>
            </w:pPr>
            <w:r>
              <w:rPr>
                <w:rFonts w:ascii="Arial" w:hAnsi="Arial"/>
                <w:sz w:val="20"/>
              </w:rPr>
              <w:t>Split date</w:t>
            </w:r>
          </w:p>
        </w:tc>
        <w:tc>
          <w:tcPr>
            <w:tcW w:type="dxa" w:w="5860"/>
          </w:tcPr>
          <w:p>
            <w:pPr>
              <w:jc w:val="center"/>
            </w:pPr>
            <w:r>
              <w:rPr>
                <w:rFonts w:ascii="Arial" w:hAnsi="Arial"/>
                <w:sz w:val="20"/>
              </w:rPr>
              <w:t>2024-01-01</w:t>
            </w:r>
          </w:p>
        </w:tc>
      </w:tr>
    </w:tbl>
    <w:p/>
    <w:p>
      <w:r>
        <w:t>The model uses two regimes because earlier years and later years appear meaningfully different. Before 2024, Rakuten marketplace behavior was affected by fewer sellers and COVID-era changes. The later-period model is more relevant for future forecasting.</w:t>
      </w:r>
    </w:p>
    <w:p>
      <w:pPr>
        <w:pStyle w:val="Heading1"/>
      </w:pPr>
      <w:r>
        <w:t>Promotion Impact</w:t>
      </w:r>
    </w:p>
    <w:p>
      <w:r>
        <w:t>The table below compares promotions that were used in the model with additional promotions that were reviewed but not included. Promotions were kept when their relationship with sales or quantity movement was stronger in the regression/correlation analysis.</w:t>
      </w:r>
    </w:p>
    <w:tbl>
      <w:tblPr>
        <w:tblStyle w:val="TableGrid"/>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700"/>
        <w:gridCol w:w="1400"/>
        <w:gridCol w:w="1900"/>
        <w:gridCol w:w="2200"/>
        <w:gridCol w:w="1160"/>
      </w:tblGrid>
      <w:tr>
        <w:tc>
          <w:tcPr>
            <w:tcW w:type="dxa" w:w="2700"/>
            <w:vAlign w:val="center"/>
            <w:shd w:fill="F8F9FA"/>
          </w:tcPr>
          <w:p>
            <w:pPr>
              <w:jc w:val="left"/>
            </w:pPr>
            <w:r>
              <w:rPr>
                <w:rFonts w:ascii="Arial" w:hAnsi="Arial"/>
                <w:b/>
                <w:sz w:val="20"/>
              </w:rPr>
              <w:t>Promotion</w:t>
            </w:r>
          </w:p>
        </w:tc>
        <w:tc>
          <w:tcPr>
            <w:tcW w:type="dxa" w:w="1400"/>
            <w:vAlign w:val="center"/>
            <w:shd w:fill="F8F9FA"/>
          </w:tcPr>
          <w:p>
            <w:pPr>
              <w:jc w:val="center"/>
            </w:pPr>
            <w:r>
              <w:rPr>
                <w:rFonts w:ascii="Arial" w:hAnsi="Arial"/>
                <w:b/>
                <w:sz w:val="20"/>
              </w:rPr>
              <w:t>Correlation</w:t>
            </w:r>
          </w:p>
        </w:tc>
        <w:tc>
          <w:tcPr>
            <w:tcW w:type="dxa" w:w="1900"/>
            <w:vAlign w:val="center"/>
            <w:shd w:fill="F8F9FA"/>
          </w:tcPr>
          <w:p>
            <w:pPr>
              <w:jc w:val="center"/>
            </w:pPr>
            <w:r>
              <w:rPr>
                <w:rFonts w:ascii="Arial" w:hAnsi="Arial"/>
                <w:b/>
                <w:sz w:val="20"/>
              </w:rPr>
              <w:t>Estimated Sales Lift</w:t>
            </w:r>
          </w:p>
        </w:tc>
        <w:tc>
          <w:tcPr>
            <w:tcW w:type="dxa" w:w="2200"/>
            <w:vAlign w:val="center"/>
            <w:shd w:fill="F8F9FA"/>
          </w:tcPr>
          <w:p>
            <w:pPr>
              <w:jc w:val="center"/>
            </w:pPr>
            <w:r>
              <w:rPr>
                <w:rFonts w:ascii="Arial" w:hAnsi="Arial"/>
                <w:b/>
                <w:sz w:val="20"/>
              </w:rPr>
              <w:t>Estimated Quantity Lift</w:t>
            </w:r>
          </w:p>
        </w:tc>
        <w:tc>
          <w:tcPr>
            <w:tcW w:type="dxa" w:w="1160"/>
            <w:vAlign w:val="center"/>
            <w:shd w:fill="F8F9FA"/>
          </w:tcPr>
          <w:p>
            <w:pPr>
              <w:jc w:val="center"/>
            </w:pPr>
            <w:r>
              <w:rPr>
                <w:rFonts w:ascii="Arial" w:hAnsi="Arial"/>
                <w:b/>
                <w:sz w:val="20"/>
              </w:rPr>
              <w:t>Used</w:t>
            </w:r>
          </w:p>
        </w:tc>
      </w:tr>
      <w:tr>
        <w:tc>
          <w:tcPr>
            <w:tcW w:type="dxa" w:w="2700"/>
          </w:tcPr>
          <w:p>
            <w:pPr>
              <w:jc w:val="left"/>
            </w:pPr>
            <w:r>
              <w:rPr>
                <w:rFonts w:ascii="Arial" w:hAnsi="Arial"/>
                <w:sz w:val="20"/>
              </w:rPr>
              <w:t>5 and 0 day</w:t>
            </w:r>
          </w:p>
        </w:tc>
        <w:tc>
          <w:tcPr>
            <w:tcW w:type="dxa" w:w="1400"/>
          </w:tcPr>
          <w:p>
            <w:pPr>
              <w:jc w:val="center"/>
            </w:pPr>
            <w:r>
              <w:rPr>
                <w:rFonts w:ascii="Arial" w:hAnsi="Arial"/>
                <w:sz w:val="20"/>
              </w:rPr>
              <w:t>0.218</w:t>
            </w:r>
          </w:p>
        </w:tc>
        <w:tc>
          <w:tcPr>
            <w:tcW w:type="dxa" w:w="1900"/>
          </w:tcPr>
          <w:p>
            <w:pPr>
              <w:jc w:val="center"/>
            </w:pPr>
            <w:r>
              <w:rPr>
                <w:rFonts w:ascii="Arial" w:hAnsi="Arial"/>
                <w:sz w:val="20"/>
              </w:rPr>
              <w:t>227.1%</w:t>
            </w:r>
          </w:p>
        </w:tc>
        <w:tc>
          <w:tcPr>
            <w:tcW w:type="dxa" w:w="2200"/>
          </w:tcPr>
          <w:p>
            <w:pPr>
              <w:jc w:val="center"/>
            </w:pPr>
            <w:r>
              <w:rPr>
                <w:rFonts w:ascii="Arial" w:hAnsi="Arial"/>
                <w:sz w:val="20"/>
              </w:rPr>
              <w:t>123.8%</w:t>
            </w:r>
          </w:p>
        </w:tc>
        <w:tc>
          <w:tcPr>
            <w:tcW w:type="dxa" w:w="1160"/>
          </w:tcPr>
          <w:p>
            <w:pPr>
              <w:jc w:val="center"/>
            </w:pPr>
            <w:r>
              <w:rPr>
                <w:rFonts w:ascii="Arial" w:hAnsi="Arial"/>
                <w:sz w:val="20"/>
              </w:rPr>
              <w:t>Yes</w:t>
            </w:r>
          </w:p>
        </w:tc>
      </w:tr>
      <w:tr>
        <w:tc>
          <w:tcPr>
            <w:tcW w:type="dxa" w:w="2700"/>
          </w:tcPr>
          <w:p>
            <w:pPr>
              <w:jc w:val="left"/>
            </w:pPr>
            <w:r>
              <w:rPr>
                <w:rFonts w:ascii="Arial" w:hAnsi="Arial"/>
                <w:sz w:val="20"/>
              </w:rPr>
              <w:t>Rakuten Super Sale</w:t>
            </w:r>
          </w:p>
        </w:tc>
        <w:tc>
          <w:tcPr>
            <w:tcW w:type="dxa" w:w="1400"/>
          </w:tcPr>
          <w:p>
            <w:pPr>
              <w:jc w:val="center"/>
            </w:pPr>
            <w:r>
              <w:rPr>
                <w:rFonts w:ascii="Arial" w:hAnsi="Arial"/>
                <w:sz w:val="20"/>
              </w:rPr>
              <w:t>0.140</w:t>
            </w:r>
          </w:p>
        </w:tc>
        <w:tc>
          <w:tcPr>
            <w:tcW w:type="dxa" w:w="1900"/>
          </w:tcPr>
          <w:p>
            <w:pPr>
              <w:jc w:val="center"/>
            </w:pPr>
            <w:r>
              <w:rPr>
                <w:rFonts w:ascii="Arial" w:hAnsi="Arial"/>
                <w:sz w:val="20"/>
              </w:rPr>
              <w:t>172.4%</w:t>
            </w:r>
          </w:p>
        </w:tc>
        <w:tc>
          <w:tcPr>
            <w:tcW w:type="dxa" w:w="2200"/>
          </w:tcPr>
          <w:p>
            <w:pPr>
              <w:jc w:val="center"/>
            </w:pPr>
            <w:r>
              <w:rPr>
                <w:rFonts w:ascii="Arial" w:hAnsi="Arial"/>
                <w:sz w:val="20"/>
              </w:rPr>
              <w:t>112.1%</w:t>
            </w:r>
          </w:p>
        </w:tc>
        <w:tc>
          <w:tcPr>
            <w:tcW w:type="dxa" w:w="1160"/>
          </w:tcPr>
          <w:p>
            <w:pPr>
              <w:jc w:val="center"/>
            </w:pPr>
            <w:r>
              <w:rPr>
                <w:rFonts w:ascii="Arial" w:hAnsi="Arial"/>
                <w:sz w:val="20"/>
              </w:rPr>
              <w:t>Yes</w:t>
            </w:r>
          </w:p>
        </w:tc>
      </w:tr>
      <w:tr>
        <w:tc>
          <w:tcPr>
            <w:tcW w:type="dxa" w:w="2700"/>
          </w:tcPr>
          <w:p>
            <w:pPr>
              <w:jc w:val="left"/>
            </w:pPr>
            <w:r>
              <w:rPr>
                <w:rFonts w:ascii="Arial" w:hAnsi="Arial"/>
                <w:sz w:val="20"/>
              </w:rPr>
              <w:t>Shopping Marathon</w:t>
            </w:r>
          </w:p>
        </w:tc>
        <w:tc>
          <w:tcPr>
            <w:tcW w:type="dxa" w:w="1400"/>
          </w:tcPr>
          <w:p>
            <w:pPr>
              <w:jc w:val="center"/>
            </w:pPr>
            <w:r>
              <w:rPr>
                <w:rFonts w:ascii="Arial" w:hAnsi="Arial"/>
                <w:sz w:val="20"/>
              </w:rPr>
              <w:t>0.084</w:t>
            </w:r>
          </w:p>
        </w:tc>
        <w:tc>
          <w:tcPr>
            <w:tcW w:type="dxa" w:w="1900"/>
          </w:tcPr>
          <w:p>
            <w:pPr>
              <w:jc w:val="center"/>
            </w:pPr>
            <w:r>
              <w:rPr>
                <w:rFonts w:ascii="Arial" w:hAnsi="Arial"/>
                <w:sz w:val="20"/>
              </w:rPr>
              <w:t>43.2%</w:t>
            </w:r>
          </w:p>
        </w:tc>
        <w:tc>
          <w:tcPr>
            <w:tcW w:type="dxa" w:w="2200"/>
          </w:tcPr>
          <w:p>
            <w:pPr>
              <w:jc w:val="center"/>
            </w:pPr>
            <w:r>
              <w:rPr>
                <w:rFonts w:ascii="Arial" w:hAnsi="Arial"/>
                <w:sz w:val="20"/>
              </w:rPr>
              <w:t>29.4%</w:t>
            </w:r>
          </w:p>
        </w:tc>
        <w:tc>
          <w:tcPr>
            <w:tcW w:type="dxa" w:w="1160"/>
          </w:tcPr>
          <w:p>
            <w:pPr>
              <w:jc w:val="center"/>
            </w:pPr>
            <w:r>
              <w:rPr>
                <w:rFonts w:ascii="Arial" w:hAnsi="Arial"/>
                <w:sz w:val="20"/>
              </w:rPr>
              <w:t>Yes</w:t>
            </w:r>
          </w:p>
        </w:tc>
      </w:tr>
      <w:tr>
        <w:tc>
          <w:tcPr>
            <w:tcW w:type="dxa" w:w="2700"/>
          </w:tcPr>
          <w:p>
            <w:pPr>
              <w:jc w:val="left"/>
            </w:pPr>
            <w:r>
              <w:rPr>
                <w:rFonts w:ascii="Arial" w:hAnsi="Arial"/>
                <w:sz w:val="20"/>
              </w:rPr>
              <w:t>Black Friday</w:t>
            </w:r>
          </w:p>
        </w:tc>
        <w:tc>
          <w:tcPr>
            <w:tcW w:type="dxa" w:w="1400"/>
          </w:tcPr>
          <w:p>
            <w:pPr>
              <w:jc w:val="center"/>
            </w:pPr>
            <w:r>
              <w:rPr>
                <w:rFonts w:ascii="Arial" w:hAnsi="Arial"/>
                <w:sz w:val="20"/>
              </w:rPr>
              <w:t>0.059</w:t>
            </w:r>
          </w:p>
        </w:tc>
        <w:tc>
          <w:tcPr>
            <w:tcW w:type="dxa" w:w="1900"/>
          </w:tcPr>
          <w:p>
            <w:pPr>
              <w:jc w:val="center"/>
            </w:pPr>
            <w:r>
              <w:rPr>
                <w:rFonts w:ascii="Arial" w:hAnsi="Arial"/>
                <w:sz w:val="20"/>
              </w:rPr>
              <w:t>165.4%</w:t>
            </w:r>
          </w:p>
        </w:tc>
        <w:tc>
          <w:tcPr>
            <w:tcW w:type="dxa" w:w="2200"/>
          </w:tcPr>
          <w:p>
            <w:pPr>
              <w:jc w:val="center"/>
            </w:pPr>
            <w:r>
              <w:rPr>
                <w:rFonts w:ascii="Arial" w:hAnsi="Arial"/>
                <w:sz w:val="20"/>
              </w:rPr>
              <w:t>81.7%</w:t>
            </w:r>
          </w:p>
        </w:tc>
        <w:tc>
          <w:tcPr>
            <w:tcW w:type="dxa" w:w="1160"/>
          </w:tcPr>
          <w:p>
            <w:pPr>
              <w:jc w:val="center"/>
            </w:pPr>
            <w:r>
              <w:rPr>
                <w:rFonts w:ascii="Arial" w:hAnsi="Arial"/>
                <w:sz w:val="20"/>
              </w:rPr>
              <w:t>Yes</w:t>
            </w:r>
          </w:p>
        </w:tc>
      </w:tr>
      <w:tr>
        <w:tc>
          <w:tcPr>
            <w:tcW w:type="dxa" w:w="2700"/>
          </w:tcPr>
          <w:p>
            <w:pPr>
              <w:jc w:val="left"/>
            </w:pPr>
            <w:r>
              <w:rPr>
                <w:rFonts w:ascii="Arial" w:hAnsi="Arial"/>
                <w:sz w:val="20"/>
              </w:rPr>
              <w:t>Thanksgiving Festival</w:t>
            </w:r>
          </w:p>
        </w:tc>
        <w:tc>
          <w:tcPr>
            <w:tcW w:type="dxa" w:w="1400"/>
          </w:tcPr>
          <w:p>
            <w:pPr>
              <w:jc w:val="center"/>
            </w:pPr>
            <w:r>
              <w:rPr>
                <w:rFonts w:ascii="Arial" w:hAnsi="Arial"/>
                <w:sz w:val="20"/>
              </w:rPr>
              <w:t>0.051</w:t>
            </w:r>
          </w:p>
        </w:tc>
        <w:tc>
          <w:tcPr>
            <w:tcW w:type="dxa" w:w="1900"/>
          </w:tcPr>
          <w:p>
            <w:pPr>
              <w:jc w:val="center"/>
            </w:pPr>
            <w:r>
              <w:rPr>
                <w:rFonts w:ascii="Arial" w:hAnsi="Arial"/>
                <w:sz w:val="20"/>
              </w:rPr>
              <w:t>339.9%</w:t>
            </w:r>
          </w:p>
        </w:tc>
        <w:tc>
          <w:tcPr>
            <w:tcW w:type="dxa" w:w="2200"/>
          </w:tcPr>
          <w:p>
            <w:pPr>
              <w:jc w:val="center"/>
            </w:pPr>
            <w:r>
              <w:rPr>
                <w:rFonts w:ascii="Arial" w:hAnsi="Arial"/>
                <w:sz w:val="20"/>
              </w:rPr>
              <w:t>102.7%</w:t>
            </w:r>
          </w:p>
        </w:tc>
        <w:tc>
          <w:tcPr>
            <w:tcW w:type="dxa" w:w="1160"/>
          </w:tcPr>
          <w:p>
            <w:pPr>
              <w:jc w:val="center"/>
            </w:pPr>
            <w:r>
              <w:rPr>
                <w:rFonts w:ascii="Arial" w:hAnsi="Arial"/>
                <w:sz w:val="20"/>
              </w:rPr>
              <w:t>Yes</w:t>
            </w:r>
          </w:p>
        </w:tc>
      </w:tr>
      <w:tr>
        <w:tc>
          <w:tcPr>
            <w:tcW w:type="dxa" w:w="2700"/>
          </w:tcPr>
          <w:p>
            <w:pPr>
              <w:jc w:val="left"/>
            </w:pPr>
            <w:r>
              <w:rPr>
                <w:rFonts w:ascii="Arial" w:hAnsi="Arial"/>
                <w:sz w:val="20"/>
              </w:rPr>
              <w:t>Wonderful Day</w:t>
            </w:r>
          </w:p>
        </w:tc>
        <w:tc>
          <w:tcPr>
            <w:tcW w:type="dxa" w:w="1400"/>
          </w:tcPr>
          <w:p>
            <w:pPr>
              <w:jc w:val="center"/>
            </w:pPr>
            <w:r>
              <w:rPr>
                <w:rFonts w:ascii="Arial" w:hAnsi="Arial"/>
                <w:sz w:val="20"/>
              </w:rPr>
              <w:t>0.020</w:t>
            </w:r>
          </w:p>
        </w:tc>
        <w:tc>
          <w:tcPr>
            <w:tcW w:type="dxa" w:w="1900"/>
          </w:tcPr>
          <w:p>
            <w:pPr>
              <w:jc w:val="center"/>
            </w:pPr>
            <w:r>
              <w:rPr>
                <w:rFonts w:ascii="Arial" w:hAnsi="Arial"/>
                <w:sz w:val="20"/>
              </w:rPr>
              <w:t>42.5%</w:t>
            </w:r>
          </w:p>
        </w:tc>
        <w:tc>
          <w:tcPr>
            <w:tcW w:type="dxa" w:w="2200"/>
          </w:tcPr>
          <w:p>
            <w:pPr>
              <w:jc w:val="center"/>
            </w:pPr>
            <w:r>
              <w:rPr>
                <w:rFonts w:ascii="Arial" w:hAnsi="Arial"/>
                <w:sz w:val="20"/>
              </w:rPr>
              <w:t>17.7%</w:t>
            </w:r>
          </w:p>
        </w:tc>
        <w:tc>
          <w:tcPr>
            <w:tcW w:type="dxa" w:w="1160"/>
          </w:tcPr>
          <w:p>
            <w:pPr>
              <w:jc w:val="center"/>
            </w:pPr>
            <w:r>
              <w:rPr>
                <w:rFonts w:ascii="Arial" w:hAnsi="Arial"/>
                <w:sz w:val="20"/>
              </w:rPr>
              <w:t>No</w:t>
            </w:r>
          </w:p>
        </w:tc>
      </w:tr>
      <w:tr>
        <w:tc>
          <w:tcPr>
            <w:tcW w:type="dxa" w:w="2700"/>
          </w:tcPr>
          <w:p>
            <w:pPr>
              <w:jc w:val="left"/>
            </w:pPr>
            <w:r>
              <w:rPr>
                <w:rFonts w:ascii="Arial" w:hAnsi="Arial"/>
                <w:sz w:val="20"/>
              </w:rPr>
              <w:t>Rakuten Fashion sale</w:t>
            </w:r>
          </w:p>
        </w:tc>
        <w:tc>
          <w:tcPr>
            <w:tcW w:type="dxa" w:w="1400"/>
          </w:tcPr>
          <w:p>
            <w:pPr>
              <w:jc w:val="center"/>
            </w:pPr>
            <w:r>
              <w:rPr>
                <w:rFonts w:ascii="Arial" w:hAnsi="Arial"/>
                <w:sz w:val="20"/>
              </w:rPr>
              <w:t>0.014</w:t>
            </w:r>
          </w:p>
        </w:tc>
        <w:tc>
          <w:tcPr>
            <w:tcW w:type="dxa" w:w="1900"/>
          </w:tcPr>
          <w:p>
            <w:pPr>
              <w:jc w:val="center"/>
            </w:pPr>
            <w:r>
              <w:rPr>
                <w:rFonts w:ascii="Arial" w:hAnsi="Arial"/>
                <w:sz w:val="20"/>
              </w:rPr>
              <w:t>-12.5%</w:t>
            </w:r>
          </w:p>
        </w:tc>
        <w:tc>
          <w:tcPr>
            <w:tcW w:type="dxa" w:w="2200"/>
          </w:tcPr>
          <w:p>
            <w:pPr>
              <w:jc w:val="center"/>
            </w:pPr>
            <w:r>
              <w:rPr>
                <w:rFonts w:ascii="Arial" w:hAnsi="Arial"/>
                <w:sz w:val="20"/>
              </w:rPr>
              <w:t>-7.0%</w:t>
            </w:r>
          </w:p>
        </w:tc>
        <w:tc>
          <w:tcPr>
            <w:tcW w:type="dxa" w:w="1160"/>
          </w:tcPr>
          <w:p>
            <w:pPr>
              <w:jc w:val="center"/>
            </w:pPr>
            <w:r>
              <w:rPr>
                <w:rFonts w:ascii="Arial" w:hAnsi="Arial"/>
                <w:sz w:val="20"/>
              </w:rPr>
              <w:t>No</w:t>
            </w:r>
          </w:p>
        </w:tc>
      </w:tr>
      <w:tr>
        <w:tc>
          <w:tcPr>
            <w:tcW w:type="dxa" w:w="2700"/>
          </w:tcPr>
          <w:p>
            <w:pPr>
              <w:jc w:val="left"/>
            </w:pPr>
            <w:r>
              <w:rPr>
                <w:rFonts w:ascii="Arial" w:hAnsi="Arial"/>
                <w:sz w:val="20"/>
              </w:rPr>
              <w:t>Sports win campaign</w:t>
            </w:r>
          </w:p>
        </w:tc>
        <w:tc>
          <w:tcPr>
            <w:tcW w:type="dxa" w:w="1400"/>
          </w:tcPr>
          <w:p>
            <w:pPr>
              <w:jc w:val="center"/>
            </w:pPr>
            <w:r>
              <w:rPr>
                <w:rFonts w:ascii="Arial" w:hAnsi="Arial"/>
                <w:sz w:val="20"/>
              </w:rPr>
              <w:t>0.009</w:t>
            </w:r>
          </w:p>
        </w:tc>
        <w:tc>
          <w:tcPr>
            <w:tcW w:type="dxa" w:w="1900"/>
          </w:tcPr>
          <w:p>
            <w:pPr>
              <w:jc w:val="center"/>
            </w:pPr>
            <w:r>
              <w:rPr>
                <w:rFonts w:ascii="Arial" w:hAnsi="Arial"/>
                <w:sz w:val="20"/>
              </w:rPr>
              <w:t>33.1%</w:t>
            </w:r>
          </w:p>
        </w:tc>
        <w:tc>
          <w:tcPr>
            <w:tcW w:type="dxa" w:w="2200"/>
          </w:tcPr>
          <w:p>
            <w:pPr>
              <w:jc w:val="center"/>
            </w:pPr>
            <w:r>
              <w:rPr>
                <w:rFonts w:ascii="Arial" w:hAnsi="Arial"/>
                <w:sz w:val="20"/>
              </w:rPr>
              <w:t>11.4%</w:t>
            </w:r>
          </w:p>
        </w:tc>
        <w:tc>
          <w:tcPr>
            <w:tcW w:type="dxa" w:w="1160"/>
          </w:tcPr>
          <w:p>
            <w:pPr>
              <w:jc w:val="center"/>
            </w:pPr>
            <w:r>
              <w:rPr>
                <w:rFonts w:ascii="Arial" w:hAnsi="Arial"/>
                <w:sz w:val="20"/>
              </w:rPr>
              <w:t>No</w:t>
            </w:r>
          </w:p>
        </w:tc>
      </w:tr>
      <w:tr>
        <w:tc>
          <w:tcPr>
            <w:tcW w:type="dxa" w:w="2700"/>
          </w:tcPr>
          <w:p>
            <w:pPr>
              <w:jc w:val="left"/>
            </w:pPr>
            <w:r>
              <w:rPr>
                <w:rFonts w:ascii="Arial" w:hAnsi="Arial"/>
                <w:sz w:val="20"/>
              </w:rPr>
              <w:t>18th Ichiba Day</w:t>
            </w:r>
          </w:p>
        </w:tc>
        <w:tc>
          <w:tcPr>
            <w:tcW w:type="dxa" w:w="1400"/>
          </w:tcPr>
          <w:p>
            <w:pPr>
              <w:jc w:val="center"/>
            </w:pPr>
            <w:r>
              <w:rPr>
                <w:rFonts w:ascii="Arial" w:hAnsi="Arial"/>
                <w:sz w:val="20"/>
              </w:rPr>
              <w:t>0.007</w:t>
            </w:r>
          </w:p>
        </w:tc>
        <w:tc>
          <w:tcPr>
            <w:tcW w:type="dxa" w:w="1900"/>
          </w:tcPr>
          <w:p>
            <w:pPr>
              <w:jc w:val="center"/>
            </w:pPr>
            <w:r>
              <w:rPr>
                <w:rFonts w:ascii="Arial" w:hAnsi="Arial"/>
                <w:sz w:val="20"/>
              </w:rPr>
              <w:t>-10.3%</w:t>
            </w:r>
          </w:p>
        </w:tc>
        <w:tc>
          <w:tcPr>
            <w:tcW w:type="dxa" w:w="2200"/>
          </w:tcPr>
          <w:p>
            <w:pPr>
              <w:jc w:val="center"/>
            </w:pPr>
            <w:r>
              <w:rPr>
                <w:rFonts w:ascii="Arial" w:hAnsi="Arial"/>
                <w:sz w:val="20"/>
              </w:rPr>
              <w:t>-5.5%</w:t>
            </w:r>
          </w:p>
        </w:tc>
        <w:tc>
          <w:tcPr>
            <w:tcW w:type="dxa" w:w="1160"/>
          </w:tcPr>
          <w:p>
            <w:pPr>
              <w:jc w:val="center"/>
            </w:pPr>
            <w:r>
              <w:rPr>
                <w:rFonts w:ascii="Arial" w:hAnsi="Arial"/>
                <w:sz w:val="20"/>
              </w:rPr>
              <w:t>No</w:t>
            </w:r>
          </w:p>
        </w:tc>
      </w:tr>
    </w:tbl>
    <w:p/>
    <w:p>
      <w:r>
        <w:t>These results suggest that promotion timing and promotion type are important for predicting fluctuations, especially for quantity sold and inventory planning. Promotions marked "No" were still analyzed, but their measured relationship was weaker or less consistent, so they were not used as primary model features.</w:t>
      </w:r>
    </w:p>
    <w:p>
      <w:pPr>
        <w:pStyle w:val="Heading1"/>
      </w:pPr>
      <w:r>
        <w:t>Dashboard Sections</w:t>
      </w:r>
    </w:p>
    <w:p>
      <w:pPr>
        <w:pStyle w:val="ListBullet"/>
        <w:spacing w:after="80"/>
      </w:pPr>
      <w:r>
        <w:t>Report Summary: gives a clear summary for the selected date range, genre, and item.</w:t>
      </w:r>
    </w:p>
    <w:p>
      <w:pPr>
        <w:pStyle w:val="ListBullet"/>
        <w:spacing w:after="80"/>
      </w:pPr>
      <w:r>
        <w:t>Sales Metrics: shows sales model accuracy.</w:t>
      </w:r>
    </w:p>
    <w:p>
      <w:pPr>
        <w:pStyle w:val="ListBullet"/>
        <w:spacing w:after="80"/>
      </w:pPr>
      <w:r>
        <w:t>Confidence Range: estimates predicted sales range and units the seller should prepare to sell.</w:t>
      </w:r>
    </w:p>
    <w:p>
      <w:pPr>
        <w:pStyle w:val="ListBullet"/>
        <w:spacing w:after="80"/>
      </w:pPr>
      <w:r>
        <w:t>Actual vs Predicted Charts: compares sales and quantity predictions against actual holdout results.</w:t>
      </w:r>
    </w:p>
    <w:p>
      <w:pPr>
        <w:pStyle w:val="ListBullet"/>
        <w:spacing w:after="80"/>
      </w:pPr>
      <w:r>
        <w:t>Where the Model Struggles: highlights categories where prediction error is highest.</w:t>
      </w:r>
    </w:p>
    <w:p>
      <w:pPr>
        <w:pStyle w:val="ListBullet"/>
        <w:spacing w:after="80"/>
      </w:pPr>
      <w:r>
        <w:t>Promotion Impact: shows how the model performs during major Rakuten events.</w:t>
      </w:r>
    </w:p>
    <w:p>
      <w:pPr>
        <w:pStyle w:val="ListBullet"/>
        <w:spacing w:after="80"/>
      </w:pPr>
      <w:r>
        <w:t>Model Details: keeps technical validation details at the bottom so they do not distract from the business story.</w:t>
      </w:r>
    </w:p>
    <w:p>
      <w:pPr>
        <w:pStyle w:val="Heading1"/>
      </w:pPr>
      <w:r>
        <w:t>Current Limitations</w:t>
      </w:r>
    </w:p>
    <w:p>
      <w:r>
        <w:t>The model is useful for backtesting and early demand-planning research, but it is not yet ready to be used as a final client inventory-ordering system.</w:t>
      </w:r>
    </w:p>
    <w:p>
      <w:pPr>
        <w:pStyle w:val="ListBullet"/>
        <w:spacing w:after="80"/>
      </w:pPr>
      <w:r>
        <w:t>Item names are not available yet, so item-level dropdowns still rely on item IDs or fallback labels.</w:t>
      </w:r>
    </w:p>
    <w:p>
      <w:pPr>
        <w:pStyle w:val="ListBullet"/>
        <w:spacing w:after="80"/>
      </w:pPr>
      <w:r>
        <w:t>Current inventory output is based on predicted quantity sold, not true warehouse stock or available inventory.</w:t>
      </w:r>
    </w:p>
    <w:p>
      <w:pPr>
        <w:pStyle w:val="ListBullet"/>
        <w:spacing w:after="80"/>
      </w:pPr>
      <w:r>
        <w:t>Future forecasting will require a confirmed future Rakuten promotion calendar.</w:t>
      </w:r>
    </w:p>
    <w:p>
      <w:pPr>
        <w:pStyle w:val="ListBullet"/>
        <w:spacing w:after="80"/>
      </w:pPr>
      <w:r>
        <w:t>Some categories have high error because of volatile demand, sparse sales, or major product mix changes.</w:t>
      </w:r>
    </w:p>
    <w:p>
      <w:pPr>
        <w:pStyle w:val="Heading1"/>
      </w:pPr>
      <w:r>
        <w:t>Next Steps Plan</w:t>
      </w:r>
    </w:p>
    <w:p>
      <w:pPr>
        <w:pStyle w:val="ListNumber"/>
        <w:spacing w:after="80"/>
      </w:pPr>
      <w:r>
        <w:t>Build the next version of the model to predict future client sales, not only backtest past sales.</w:t>
      </w:r>
    </w:p>
    <w:p>
      <w:pPr>
        <w:pStyle w:val="ListNumber"/>
        <w:spacing w:after="80"/>
      </w:pPr>
      <w:r>
        <w:t>Add client-specific product, store, historical sales, quantity, and promotion participation data.</w:t>
      </w:r>
    </w:p>
    <w:p>
      <w:pPr>
        <w:pStyle w:val="ListNumber"/>
        <w:spacing w:after="80"/>
      </w:pPr>
      <w:r>
        <w:t>Include future-known drivers such as Rakuten promotion dates, point multipliers, coupons, discounts, holidays, and pricing changes.</w:t>
      </w:r>
    </w:p>
    <w:p>
      <w:pPr>
        <w:pStyle w:val="ListNumber"/>
        <w:spacing w:after="80"/>
      </w:pPr>
      <w:r>
        <w:t>Validate the future forecast by training on earlier periods and testing on later unseen periods before using it for client planning.</w:t>
      </w:r>
    </w:p>
    <w:p>
      <w:pPr>
        <w:pStyle w:val="ListNumber"/>
        <w:spacing w:after="80"/>
      </w:pPr>
      <w:r>
        <w:t>Turn the output into a client-ready planning view showing predicted sales, units to prepare, confidence range, and caution areas.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