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Local dashboard: </w:t>
      </w:r>
      <w:r>
        <w:rPr>
          <w:rFonts w:ascii="Arial" w:hAnsi="Arial"/>
          <w:b/>
          <w:color w:val="1155CC"/>
          <w:u w:val="single"/>
        </w:rPr>
        <w:t>http://127.0.0.1:8877/?v=organized-dashboard</w:t>
      </w:r>
    </w:p>
    <w:p>
      <w:pPr>
        <w:pStyle w:val="ListBullet"/>
        <w:spacing w:after="80"/>
      </w:pPr>
      <w:r>
        <w:rPr>
          <w:rFonts w:ascii="Arial" w:hAnsi="Arial"/>
          <w:b/>
        </w:rPr>
        <w:t xml:space="preserve">GitHub Pages: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model currently uses promotions that showed stronger relationship with sales or quantity movement. These were selected using promotion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200"/>
        <w:gridCol w:w="2200"/>
        <w:gridCol w:w="2400"/>
        <w:gridCol w:w="1560"/>
      </w:tblGrid>
      <w:tr>
        <w:tc>
          <w:tcPr>
            <w:tcW w:type="dxa" w:w="3200"/>
            <w:vAlign w:val="center"/>
            <w:shd w:fill="F8F9FA"/>
          </w:tcPr>
          <w:p>
            <w:pPr>
              <w:jc w:val="left"/>
            </w:pPr>
            <w:r>
              <w:rPr>
                <w:rFonts w:ascii="Arial" w:hAnsi="Arial"/>
                <w:b/>
                <w:sz w:val="20"/>
              </w:rPr>
              <w:t>Promotion</w:t>
            </w:r>
          </w:p>
        </w:tc>
        <w:tc>
          <w:tcPr>
            <w:tcW w:type="dxa" w:w="2200"/>
            <w:vAlign w:val="center"/>
            <w:shd w:fill="F8F9FA"/>
          </w:tcPr>
          <w:p>
            <w:pPr>
              <w:jc w:val="center"/>
            </w:pPr>
            <w:r>
              <w:rPr>
                <w:rFonts w:ascii="Arial" w:hAnsi="Arial"/>
                <w:b/>
                <w:sz w:val="20"/>
              </w:rPr>
              <w:t>Estimated Sales Lift</w:t>
            </w:r>
          </w:p>
        </w:tc>
        <w:tc>
          <w:tcPr>
            <w:tcW w:type="dxa" w:w="2400"/>
            <w:vAlign w:val="center"/>
            <w:shd w:fill="F8F9FA"/>
          </w:tcPr>
          <w:p>
            <w:pPr>
              <w:jc w:val="center"/>
            </w:pPr>
            <w:r>
              <w:rPr>
                <w:rFonts w:ascii="Arial" w:hAnsi="Arial"/>
                <w:b/>
                <w:sz w:val="20"/>
              </w:rPr>
              <w:t>Estimated Quantity Lift</w:t>
            </w:r>
          </w:p>
        </w:tc>
        <w:tc>
          <w:tcPr>
            <w:tcW w:type="dxa" w:w="1560"/>
            <w:vAlign w:val="center"/>
            <w:shd w:fill="F8F9FA"/>
          </w:tcPr>
          <w:p>
            <w:pPr>
              <w:jc w:val="center"/>
            </w:pPr>
            <w:r>
              <w:rPr>
                <w:rFonts w:ascii="Arial" w:hAnsi="Arial"/>
                <w:b/>
                <w:sz w:val="20"/>
              </w:rPr>
              <w:t>Used</w:t>
            </w:r>
          </w:p>
        </w:tc>
      </w:tr>
      <w:tr>
        <w:tc>
          <w:tcPr>
            <w:tcW w:type="dxa" w:w="3200"/>
          </w:tcPr>
          <w:p>
            <w:pPr>
              <w:jc w:val="left"/>
            </w:pPr>
            <w:r>
              <w:rPr>
                <w:rFonts w:ascii="Arial" w:hAnsi="Arial"/>
                <w:sz w:val="20"/>
              </w:rPr>
              <w:t>5 and 0 day</w:t>
            </w:r>
          </w:p>
        </w:tc>
        <w:tc>
          <w:tcPr>
            <w:tcW w:type="dxa" w:w="2200"/>
          </w:tcPr>
          <w:p>
            <w:pPr>
              <w:jc w:val="center"/>
            </w:pPr>
            <w:r>
              <w:rPr>
                <w:rFonts w:ascii="Arial" w:hAnsi="Arial"/>
                <w:sz w:val="20"/>
              </w:rPr>
              <w:t>227.1%</w:t>
            </w:r>
          </w:p>
        </w:tc>
        <w:tc>
          <w:tcPr>
            <w:tcW w:type="dxa" w:w="2400"/>
          </w:tcPr>
          <w:p>
            <w:pPr>
              <w:jc w:val="center"/>
            </w:pPr>
            <w:r>
              <w:rPr>
                <w:rFonts w:ascii="Arial" w:hAnsi="Arial"/>
                <w:sz w:val="20"/>
              </w:rPr>
              <w:t>123.8%</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Rakuten Super Sale</w:t>
            </w:r>
          </w:p>
        </w:tc>
        <w:tc>
          <w:tcPr>
            <w:tcW w:type="dxa" w:w="2200"/>
          </w:tcPr>
          <w:p>
            <w:pPr>
              <w:jc w:val="center"/>
            </w:pPr>
            <w:r>
              <w:rPr>
                <w:rFonts w:ascii="Arial" w:hAnsi="Arial"/>
                <w:sz w:val="20"/>
              </w:rPr>
              <w:t>172.4%</w:t>
            </w:r>
          </w:p>
        </w:tc>
        <w:tc>
          <w:tcPr>
            <w:tcW w:type="dxa" w:w="2400"/>
          </w:tcPr>
          <w:p>
            <w:pPr>
              <w:jc w:val="center"/>
            </w:pPr>
            <w:r>
              <w:rPr>
                <w:rFonts w:ascii="Arial" w:hAnsi="Arial"/>
                <w:sz w:val="20"/>
              </w:rPr>
              <w:t>112.1%</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Shopping Marathon</w:t>
            </w:r>
          </w:p>
        </w:tc>
        <w:tc>
          <w:tcPr>
            <w:tcW w:type="dxa" w:w="2200"/>
          </w:tcPr>
          <w:p>
            <w:pPr>
              <w:jc w:val="center"/>
            </w:pPr>
            <w:r>
              <w:rPr>
                <w:rFonts w:ascii="Arial" w:hAnsi="Arial"/>
                <w:sz w:val="20"/>
              </w:rPr>
              <w:t>43.2%</w:t>
            </w:r>
          </w:p>
        </w:tc>
        <w:tc>
          <w:tcPr>
            <w:tcW w:type="dxa" w:w="2400"/>
          </w:tcPr>
          <w:p>
            <w:pPr>
              <w:jc w:val="center"/>
            </w:pPr>
            <w:r>
              <w:rPr>
                <w:rFonts w:ascii="Arial" w:hAnsi="Arial"/>
                <w:sz w:val="20"/>
              </w:rPr>
              <w:t>29.4%</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Black Friday</w:t>
            </w:r>
          </w:p>
        </w:tc>
        <w:tc>
          <w:tcPr>
            <w:tcW w:type="dxa" w:w="2200"/>
          </w:tcPr>
          <w:p>
            <w:pPr>
              <w:jc w:val="center"/>
            </w:pPr>
            <w:r>
              <w:rPr>
                <w:rFonts w:ascii="Arial" w:hAnsi="Arial"/>
                <w:sz w:val="20"/>
              </w:rPr>
              <w:t>165.4%</w:t>
            </w:r>
          </w:p>
        </w:tc>
        <w:tc>
          <w:tcPr>
            <w:tcW w:type="dxa" w:w="2400"/>
          </w:tcPr>
          <w:p>
            <w:pPr>
              <w:jc w:val="center"/>
            </w:pPr>
            <w:r>
              <w:rPr>
                <w:rFonts w:ascii="Arial" w:hAnsi="Arial"/>
                <w:sz w:val="20"/>
              </w:rPr>
              <w:t>81.7%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Thanksgiving Festival</w:t>
            </w:r>
          </w:p>
        </w:tc>
        <w:tc>
          <w:tcPr>
            <w:tcW w:type="dxa" w:w="2200"/>
          </w:tcPr>
          <w:p>
            <w:pPr>
              <w:jc w:val="center"/>
            </w:pPr>
            <w:r>
              <w:rPr>
                <w:rFonts w:ascii="Arial" w:hAnsi="Arial"/>
                <w:sz w:val="20"/>
              </w:rPr>
              <w:t>339.9%</w:t>
            </w:r>
          </w:p>
        </w:tc>
        <w:tc>
          <w:tcPr>
            <w:tcW w:type="dxa" w:w="2400"/>
          </w:tcPr>
          <w:p>
            <w:pPr>
              <w:jc w:val="center"/>
            </w:pPr>
            <w:r>
              <w:rPr>
                <w:rFonts w:ascii="Arial" w:hAnsi="Arial"/>
                <w:sz w:val="20"/>
              </w:rPr>
              <w:t>102.7%</w:t>
            </w:r>
          </w:p>
        </w:tc>
        <w:tc>
          <w:tcPr>
            <w:tcW w:type="dxa" w:w="1560"/>
          </w:tcPr>
          <w:p>
            <w:pPr>
              <w:jc w:val="center"/>
            </w:pPr>
            <w:r>
              <w:rPr>
                <w:rFonts w:ascii="Arial" w:hAnsi="Arial"/>
                <w:sz w:val="20"/>
              </w:rPr>
              <w:t>Yes</w:t>
            </w:r>
          </w:p>
        </w:tc>
      </w:tr>
    </w:tbl>
    <w:p/>
    <w:p>
      <w:r>
        <w:t>These results suggest that promotion timing and promotion type are important for predicting fluctuations, especially for quantity sold and inventory planning.</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Item Name File Needed</w:t>
      </w:r>
    </w:p>
    <w:p>
      <w:r>
        <w:t>The next important file from the team should map item IDs to readable item names or FTP titles.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6360"/>
      </w:tblGrid>
      <w:tr>
        <w:tc>
          <w:tcPr>
            <w:tcW w:type="dxa" w:w="3000"/>
            <w:vAlign w:val="center"/>
            <w:shd w:fill="F8F9FA"/>
          </w:tcPr>
          <w:p>
            <w:pPr>
              <w:jc w:val="left"/>
            </w:pPr>
            <w:r>
              <w:rPr>
                <w:rFonts w:ascii="Arial" w:hAnsi="Arial"/>
                <w:b/>
                <w:sz w:val="20"/>
              </w:rPr>
              <w:t>Column</w:t>
            </w:r>
          </w:p>
        </w:tc>
        <w:tc>
          <w:tcPr>
            <w:tcW w:type="dxa" w:w="6360"/>
            <w:vAlign w:val="center"/>
            <w:shd w:fill="F8F9FA"/>
          </w:tcPr>
          <w:p>
            <w:pPr>
              <w:jc w:val="center"/>
            </w:pPr>
            <w:r>
              <w:rPr>
                <w:rFonts w:ascii="Arial" w:hAnsi="Arial"/>
                <w:b/>
                <w:sz w:val="20"/>
              </w:rPr>
              <w:t>Why It Helps</w:t>
            </w:r>
          </w:p>
        </w:tc>
      </w:tr>
      <w:tr>
        <w:tc>
          <w:tcPr>
            <w:tcW w:type="dxa" w:w="3000"/>
          </w:tcPr>
          <w:p>
            <w:pPr>
              <w:jc w:val="left"/>
            </w:pPr>
            <w:r>
              <w:rPr>
                <w:rFonts w:ascii="Arial" w:hAnsi="Arial"/>
                <w:sz w:val="20"/>
              </w:rPr>
              <w:t>item_id</w:t>
            </w:r>
          </w:p>
        </w:tc>
        <w:tc>
          <w:tcPr>
            <w:tcW w:type="dxa" w:w="6360"/>
          </w:tcPr>
          <w:p>
            <w:pPr>
              <w:jc w:val="center"/>
            </w:pPr>
            <w:r>
              <w:rPr>
                <w:rFonts w:ascii="Arial" w:hAnsi="Arial"/>
                <w:sz w:val="20"/>
              </w:rPr>
              <w:t>Connects the file to the current TENKI item IDs.</w:t>
            </w:r>
          </w:p>
        </w:tc>
      </w:tr>
      <w:tr>
        <w:tc>
          <w:tcPr>
            <w:tcW w:type="dxa" w:w="3000"/>
          </w:tcPr>
          <w:p>
            <w:pPr>
              <w:jc w:val="left"/>
            </w:pPr>
            <w:r>
              <w:rPr>
                <w:rFonts w:ascii="Arial" w:hAnsi="Arial"/>
                <w:sz w:val="20"/>
              </w:rPr>
              <w:t>item_name or ftp_title</w:t>
            </w:r>
          </w:p>
        </w:tc>
        <w:tc>
          <w:tcPr>
            <w:tcW w:type="dxa" w:w="6360"/>
          </w:tcPr>
          <w:p>
            <w:pPr>
              <w:jc w:val="center"/>
            </w:pPr>
            <w:r>
              <w:rPr>
                <w:rFonts w:ascii="Arial" w:hAnsi="Arial"/>
                <w:sz w:val="20"/>
              </w:rPr>
              <w:t>Lets the dashboard show actual product names.</w:t>
            </w:r>
          </w:p>
        </w:tc>
      </w:tr>
      <w:tr>
        <w:tc>
          <w:tcPr>
            <w:tcW w:type="dxa" w:w="3000"/>
          </w:tcPr>
          <w:p>
            <w:pPr>
              <w:jc w:val="left"/>
            </w:pPr>
            <w:r>
              <w:rPr>
                <w:rFonts w:ascii="Arial" w:hAnsi="Arial"/>
                <w:sz w:val="20"/>
              </w:rPr>
              <w:t>genre_id</w:t>
            </w:r>
          </w:p>
        </w:tc>
        <w:tc>
          <w:tcPr>
            <w:tcW w:type="dxa" w:w="6360"/>
          </w:tcPr>
          <w:p>
            <w:pPr>
              <w:jc w:val="center"/>
            </w:pPr>
            <w:r>
              <w:rPr>
                <w:rFonts w:ascii="Arial" w:hAnsi="Arial"/>
                <w:sz w:val="20"/>
              </w:rPr>
              <w:t>Confirms the item belongs to the right category.</w:t>
            </w:r>
          </w:p>
        </w:tc>
      </w:tr>
      <w:tr>
        <w:tc>
          <w:tcPr>
            <w:tcW w:type="dxa" w:w="3000"/>
          </w:tcPr>
          <w:p>
            <w:pPr>
              <w:jc w:val="left"/>
            </w:pPr>
            <w:r>
              <w:rPr>
                <w:rFonts w:ascii="Arial" w:hAnsi="Arial"/>
                <w:sz w:val="20"/>
              </w:rPr>
              <w:t>shop_id or shop_code</w:t>
            </w:r>
          </w:p>
        </w:tc>
        <w:tc>
          <w:tcPr>
            <w:tcW w:type="dxa" w:w="6360"/>
          </w:tcPr>
          <w:p>
            <w:pPr>
              <w:jc w:val="center"/>
            </w:pPr>
            <w:r>
              <w:rPr>
                <w:rFonts w:ascii="Arial" w:hAnsi="Arial"/>
                <w:sz w:val="20"/>
              </w:rPr>
              <w:t>Allows seller/store-level modeling later.</w:t>
            </w:r>
          </w:p>
        </w:tc>
      </w:tr>
      <w:tr>
        <w:tc>
          <w:tcPr>
            <w:tcW w:type="dxa" w:w="3000"/>
          </w:tcPr>
          <w:p>
            <w:pPr>
              <w:jc w:val="left"/>
            </w:pPr>
            <w:r>
              <w:rPr>
                <w:rFonts w:ascii="Arial" w:hAnsi="Arial"/>
                <w:sz w:val="20"/>
              </w:rPr>
              <w:t>price or list_price</w:t>
            </w:r>
          </w:p>
        </w:tc>
        <w:tc>
          <w:tcPr>
            <w:tcW w:type="dxa" w:w="6360"/>
          </w:tcPr>
          <w:p>
            <w:pPr>
              <w:jc w:val="center"/>
            </w:pPr>
            <w:r>
              <w:rPr>
                <w:rFonts w:ascii="Arial" w:hAnsi="Arial"/>
                <w:sz w:val="20"/>
              </w:rPr>
              <w:t>Helps model demand changes from price.</w:t>
            </w:r>
          </w:p>
        </w:tc>
      </w:tr>
      <w:tr>
        <w:tc>
          <w:tcPr>
            <w:tcW w:type="dxa" w:w="3000"/>
          </w:tcPr>
          <w:p>
            <w:pPr>
              <w:jc w:val="left"/>
            </w:pPr>
            <w:r>
              <w:rPr>
                <w:rFonts w:ascii="Arial" w:hAnsi="Arial"/>
                <w:sz w:val="20"/>
              </w:rPr>
              <w:t>JAN / SKU / product code</w:t>
            </w:r>
          </w:p>
        </w:tc>
        <w:tc>
          <w:tcPr>
            <w:tcW w:type="dxa" w:w="6360"/>
          </w:tcPr>
          <w:p>
            <w:pPr>
              <w:jc w:val="center"/>
            </w:pPr>
            <w:r>
              <w:rPr>
                <w:rFonts w:ascii="Arial" w:hAnsi="Arial"/>
                <w:sz w:val="20"/>
              </w:rPr>
              <w:t>Helps identify the same product across files.</w:t>
            </w:r>
          </w:p>
        </w:tc>
      </w:tr>
    </w:tbl>
    <w:p/>
    <w:p>
      <w:r>
        <w:t>Once this file is available, the dashboard can replace fallback item labels with real product names and support more useful item-level reporting.</w:t>
      </w:r>
    </w:p>
    <w:p>
      <w:pPr>
        <w:pStyle w:val="Heading1"/>
      </w:pPr>
      <w:r>
        <w:t>Recommended Next Steps</w:t>
      </w:r>
    </w:p>
    <w:p>
      <w:pPr>
        <w:pStyle w:val="ListNumber"/>
        <w:spacing w:after="80"/>
      </w:pPr>
      <w:r>
        <w:t>Add the item-name / FTP-title file and update the item dropdown.</w:t>
      </w:r>
    </w:p>
    <w:p>
      <w:pPr>
        <w:pStyle w:val="ListNumber"/>
        <w:spacing w:after="80"/>
      </w:pPr>
      <w:r>
        <w:t>Add price, discount, coupon, and point-back features.</w:t>
      </w:r>
    </w:p>
    <w:p>
      <w:pPr>
        <w:pStyle w:val="ListNumber"/>
        <w:spacing w:after="80"/>
      </w:pPr>
      <w:r>
        <w:t>Add stockout or inventory availability data if available.</w:t>
      </w:r>
    </w:p>
    <w:p>
      <w:pPr>
        <w:pStyle w:val="ListNumber"/>
        <w:spacing w:after="80"/>
      </w:pPr>
      <w:r>
        <w:t>Build a future promotion calendar input.</w:t>
      </w:r>
    </w:p>
    <w:p>
      <w:pPr>
        <w:pStyle w:val="ListNumber"/>
        <w:spacing w:after="80"/>
      </w:pPr>
      <w:r>
        <w:t>Create client/store-specific model views once seller identifiers are available.</w:t>
      </w:r>
    </w:p>
    <w:p>
      <w:pPr>
        <w:pStyle w:val="ListNumber"/>
        <w:spacing w:after="80"/>
      </w:pPr>
      <w:r>
        <w:t>Calibrate confidence ranges using true forecast error, not only display caps.</w:t>
      </w:r>
    </w:p>
    <w:p>
      <w:pPr>
        <w:pStyle w:val="ListNumber"/>
        <w:spacing w:after="80"/>
      </w:pPr>
      <w:r>
        <w:t>Convert this report into a short boss-facing PDF or slide deck after item names are added.</w:t>
      </w:r>
    </w:p>
    <w:p>
      <w:pPr>
        <w:pStyle w:val="Heading1"/>
      </w:pPr>
      <w:r>
        <w:t>Suggested Boss Talking Points</w:t>
      </w:r>
    </w:p>
    <w:p>
      <w:pPr>
        <w:pStyle w:val="ListBullet"/>
        <w:spacing w:after="80"/>
      </w:pPr>
      <w:r>
        <w:t>The model already captures broad sales and quantity patterns with R2 around 0.86.</w:t>
      </w:r>
    </w:p>
    <w:p>
      <w:pPr>
        <w:pStyle w:val="ListBullet"/>
        <w:spacing w:after="80"/>
      </w:pPr>
      <w:r>
        <w:t>Promotion events clearly matter and should be included in any future demand forecast.</w:t>
      </w:r>
    </w:p>
    <w:p>
      <w:pPr>
        <w:pStyle w:val="ListBullet"/>
        <w:spacing w:after="80"/>
      </w:pPr>
      <w:r>
        <w:t>The dashboard can estimate how many units sellers should prepare for a selected date range.</w:t>
      </w:r>
    </w:p>
    <w:p>
      <w:pPr>
        <w:pStyle w:val="ListBullet"/>
        <w:spacing w:after="80"/>
      </w:pPr>
      <w:r>
        <w:t>Accuracy is promising for a first backtesting tool, but production forecasting needs better product, price, and stock data.</w:t>
      </w:r>
    </w:p>
    <w:p>
      <w:pPr>
        <w:pStyle w:val="ListBullet"/>
        <w:spacing w:after="80"/>
      </w:pPr>
      <w:r>
        <w:t>The next highest-value improvement is mapping item IDs to real item names or FTP titles.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