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Arial" w:hAnsi="Arial" w:eastAsia="Arial"/>
          <w:b w:val="0"/>
          <w:color w:val="000000"/>
          <w:sz w:val="52"/>
        </w:rPr>
        <w:t>TENKI Rakuten Sales Prediction Model</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 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rPr>
          <w:rFonts w:ascii="Arial" w:hAnsi="Arial"/>
          <w:b/>
        </w:rPr>
        <w:t xml:space="preserve">Interactive model link: </w:t>
      </w:r>
      <w:r>
        <w:rPr>
          <w:rFonts w:ascii="Arial" w:hAnsi="Arial"/>
          <w:b/>
          <w:color w:val="1155CC"/>
          <w:u w:val="single"/>
        </w:rPr>
        <w:t>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table below compares promotions that were used in the model with additional promotions that were reviewed but not included. Promotions were kept when their relationship with sales or quantity movement was stronger in the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700"/>
        <w:gridCol w:w="1400"/>
        <w:gridCol w:w="1900"/>
        <w:gridCol w:w="2200"/>
        <w:gridCol w:w="1160"/>
      </w:tblGrid>
      <w:tr>
        <w:tc>
          <w:tcPr>
            <w:tcW w:type="dxa" w:w="2700"/>
            <w:vAlign w:val="center"/>
            <w:shd w:fill="F8F9FA"/>
          </w:tcPr>
          <w:p>
            <w:pPr>
              <w:jc w:val="left"/>
            </w:pPr>
            <w:r>
              <w:rPr>
                <w:rFonts w:ascii="Arial" w:hAnsi="Arial"/>
                <w:b/>
                <w:sz w:val="20"/>
              </w:rPr>
              <w:t>Promotion</w:t>
            </w:r>
          </w:p>
        </w:tc>
        <w:tc>
          <w:tcPr>
            <w:tcW w:type="dxa" w:w="1400"/>
            <w:vAlign w:val="center"/>
            <w:shd w:fill="F8F9FA"/>
          </w:tcPr>
          <w:p>
            <w:pPr>
              <w:jc w:val="center"/>
            </w:pPr>
            <w:r>
              <w:rPr>
                <w:rFonts w:ascii="Arial" w:hAnsi="Arial"/>
                <w:b/>
                <w:sz w:val="20"/>
              </w:rPr>
              <w:t>Correlation</w:t>
            </w:r>
          </w:p>
        </w:tc>
        <w:tc>
          <w:tcPr>
            <w:tcW w:type="dxa" w:w="1900"/>
            <w:vAlign w:val="center"/>
            <w:shd w:fill="F8F9FA"/>
          </w:tcPr>
          <w:p>
            <w:pPr>
              <w:jc w:val="center"/>
            </w:pPr>
            <w:r>
              <w:rPr>
                <w:rFonts w:ascii="Arial" w:hAnsi="Arial"/>
                <w:b/>
                <w:sz w:val="20"/>
              </w:rPr>
              <w:t>Estimated Sales Lift</w:t>
            </w:r>
          </w:p>
        </w:tc>
        <w:tc>
          <w:tcPr>
            <w:tcW w:type="dxa" w:w="2200"/>
            <w:vAlign w:val="center"/>
            <w:shd w:fill="F8F9FA"/>
          </w:tcPr>
          <w:p>
            <w:pPr>
              <w:jc w:val="center"/>
            </w:pPr>
            <w:r>
              <w:rPr>
                <w:rFonts w:ascii="Arial" w:hAnsi="Arial"/>
                <w:b/>
                <w:sz w:val="20"/>
              </w:rPr>
              <w:t>Estimated Quantity Lift</w:t>
            </w:r>
          </w:p>
        </w:tc>
        <w:tc>
          <w:tcPr>
            <w:tcW w:type="dxa" w:w="1160"/>
            <w:vAlign w:val="center"/>
            <w:shd w:fill="F8F9FA"/>
          </w:tcPr>
          <w:p>
            <w:pPr>
              <w:jc w:val="center"/>
            </w:pPr>
            <w:r>
              <w:rPr>
                <w:rFonts w:ascii="Arial" w:hAnsi="Arial"/>
                <w:b/>
                <w:sz w:val="20"/>
              </w:rPr>
              <w:t>Used</w:t>
            </w:r>
          </w:p>
        </w:tc>
      </w:tr>
      <w:tr>
        <w:tc>
          <w:tcPr>
            <w:tcW w:type="dxa" w:w="2700"/>
          </w:tcPr>
          <w:p>
            <w:pPr>
              <w:jc w:val="left"/>
            </w:pPr>
            <w:r>
              <w:rPr>
                <w:rFonts w:ascii="Arial" w:hAnsi="Arial"/>
                <w:sz w:val="20"/>
              </w:rPr>
              <w:t>5 and 0 day</w:t>
            </w:r>
          </w:p>
        </w:tc>
        <w:tc>
          <w:tcPr>
            <w:tcW w:type="dxa" w:w="1400"/>
          </w:tcPr>
          <w:p>
            <w:pPr>
              <w:jc w:val="center"/>
            </w:pPr>
            <w:r>
              <w:rPr>
                <w:rFonts w:ascii="Arial" w:hAnsi="Arial"/>
                <w:sz w:val="20"/>
              </w:rPr>
              <w:t>0.218</w:t>
            </w:r>
          </w:p>
        </w:tc>
        <w:tc>
          <w:tcPr>
            <w:tcW w:type="dxa" w:w="1900"/>
          </w:tcPr>
          <w:p>
            <w:pPr>
              <w:jc w:val="center"/>
            </w:pPr>
            <w:r>
              <w:rPr>
                <w:rFonts w:ascii="Arial" w:hAnsi="Arial"/>
                <w:sz w:val="20"/>
              </w:rPr>
              <w:t>227.1%</w:t>
            </w:r>
          </w:p>
        </w:tc>
        <w:tc>
          <w:tcPr>
            <w:tcW w:type="dxa" w:w="2200"/>
          </w:tcPr>
          <w:p>
            <w:pPr>
              <w:jc w:val="center"/>
            </w:pPr>
            <w:r>
              <w:rPr>
                <w:rFonts w:ascii="Arial" w:hAnsi="Arial"/>
                <w:sz w:val="20"/>
              </w:rPr>
              <w:t>123.8%</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Rakuten Super Sale</w:t>
            </w:r>
          </w:p>
        </w:tc>
        <w:tc>
          <w:tcPr>
            <w:tcW w:type="dxa" w:w="1400"/>
          </w:tcPr>
          <w:p>
            <w:pPr>
              <w:jc w:val="center"/>
            </w:pPr>
            <w:r>
              <w:rPr>
                <w:rFonts w:ascii="Arial" w:hAnsi="Arial"/>
                <w:sz w:val="20"/>
              </w:rPr>
              <w:t>0.140</w:t>
            </w:r>
          </w:p>
        </w:tc>
        <w:tc>
          <w:tcPr>
            <w:tcW w:type="dxa" w:w="1900"/>
          </w:tcPr>
          <w:p>
            <w:pPr>
              <w:jc w:val="center"/>
            </w:pPr>
            <w:r>
              <w:rPr>
                <w:rFonts w:ascii="Arial" w:hAnsi="Arial"/>
                <w:sz w:val="20"/>
              </w:rPr>
              <w:t>172.4%</w:t>
            </w:r>
          </w:p>
        </w:tc>
        <w:tc>
          <w:tcPr>
            <w:tcW w:type="dxa" w:w="2200"/>
          </w:tcPr>
          <w:p>
            <w:pPr>
              <w:jc w:val="center"/>
            </w:pPr>
            <w:r>
              <w:rPr>
                <w:rFonts w:ascii="Arial" w:hAnsi="Arial"/>
                <w:sz w:val="20"/>
              </w:rPr>
              <w:t>112.1%</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Shopping Marathon</w:t>
            </w:r>
          </w:p>
        </w:tc>
        <w:tc>
          <w:tcPr>
            <w:tcW w:type="dxa" w:w="1400"/>
          </w:tcPr>
          <w:p>
            <w:pPr>
              <w:jc w:val="center"/>
            </w:pPr>
            <w:r>
              <w:rPr>
                <w:rFonts w:ascii="Arial" w:hAnsi="Arial"/>
                <w:sz w:val="20"/>
              </w:rPr>
              <w:t>0.084</w:t>
            </w:r>
          </w:p>
        </w:tc>
        <w:tc>
          <w:tcPr>
            <w:tcW w:type="dxa" w:w="1900"/>
          </w:tcPr>
          <w:p>
            <w:pPr>
              <w:jc w:val="center"/>
            </w:pPr>
            <w:r>
              <w:rPr>
                <w:rFonts w:ascii="Arial" w:hAnsi="Arial"/>
                <w:sz w:val="20"/>
              </w:rPr>
              <w:t>43.2%</w:t>
            </w:r>
          </w:p>
        </w:tc>
        <w:tc>
          <w:tcPr>
            <w:tcW w:type="dxa" w:w="2200"/>
          </w:tcPr>
          <w:p>
            <w:pPr>
              <w:jc w:val="center"/>
            </w:pPr>
            <w:r>
              <w:rPr>
                <w:rFonts w:ascii="Arial" w:hAnsi="Arial"/>
                <w:sz w:val="20"/>
              </w:rPr>
              <w:t>29.4%</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Black Friday</w:t>
            </w:r>
          </w:p>
        </w:tc>
        <w:tc>
          <w:tcPr>
            <w:tcW w:type="dxa" w:w="1400"/>
          </w:tcPr>
          <w:p>
            <w:pPr>
              <w:jc w:val="center"/>
            </w:pPr>
            <w:r>
              <w:rPr>
                <w:rFonts w:ascii="Arial" w:hAnsi="Arial"/>
                <w:sz w:val="20"/>
              </w:rPr>
              <w:t>0.059</w:t>
            </w:r>
          </w:p>
        </w:tc>
        <w:tc>
          <w:tcPr>
            <w:tcW w:type="dxa" w:w="1900"/>
          </w:tcPr>
          <w:p>
            <w:pPr>
              <w:jc w:val="center"/>
            </w:pPr>
            <w:r>
              <w:rPr>
                <w:rFonts w:ascii="Arial" w:hAnsi="Arial"/>
                <w:sz w:val="20"/>
              </w:rPr>
              <w:t>165.4%</w:t>
            </w:r>
          </w:p>
        </w:tc>
        <w:tc>
          <w:tcPr>
            <w:tcW w:type="dxa" w:w="2200"/>
          </w:tcPr>
          <w:p>
            <w:pPr>
              <w:jc w:val="center"/>
            </w:pPr>
            <w:r>
              <w:rPr>
                <w:rFonts w:ascii="Arial" w:hAnsi="Arial"/>
                <w:sz w:val="20"/>
              </w:rPr>
              <w:t>81.7%</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Thanksgiving Festival</w:t>
            </w:r>
          </w:p>
        </w:tc>
        <w:tc>
          <w:tcPr>
            <w:tcW w:type="dxa" w:w="1400"/>
          </w:tcPr>
          <w:p>
            <w:pPr>
              <w:jc w:val="center"/>
            </w:pPr>
            <w:r>
              <w:rPr>
                <w:rFonts w:ascii="Arial" w:hAnsi="Arial"/>
                <w:sz w:val="20"/>
              </w:rPr>
              <w:t>0.051</w:t>
            </w:r>
          </w:p>
        </w:tc>
        <w:tc>
          <w:tcPr>
            <w:tcW w:type="dxa" w:w="1900"/>
          </w:tcPr>
          <w:p>
            <w:pPr>
              <w:jc w:val="center"/>
            </w:pPr>
            <w:r>
              <w:rPr>
                <w:rFonts w:ascii="Arial" w:hAnsi="Arial"/>
                <w:sz w:val="20"/>
              </w:rPr>
              <w:t>339.9%</w:t>
            </w:r>
          </w:p>
        </w:tc>
        <w:tc>
          <w:tcPr>
            <w:tcW w:type="dxa" w:w="2200"/>
          </w:tcPr>
          <w:p>
            <w:pPr>
              <w:jc w:val="center"/>
            </w:pPr>
            <w:r>
              <w:rPr>
                <w:rFonts w:ascii="Arial" w:hAnsi="Arial"/>
                <w:sz w:val="20"/>
              </w:rPr>
              <w:t>102.7%</w:t>
            </w:r>
          </w:p>
        </w:tc>
        <w:tc>
          <w:tcPr>
            <w:tcW w:type="dxa" w:w="1160"/>
          </w:tcPr>
          <w:p>
            <w:pPr>
              <w:jc w:val="center"/>
            </w:pPr>
            <w:r>
              <w:rPr>
                <w:rFonts w:ascii="Arial" w:hAnsi="Arial"/>
                <w:sz w:val="20"/>
              </w:rPr>
              <w:t>Yes</w:t>
            </w:r>
          </w:p>
        </w:tc>
      </w:tr>
      <w:tr>
        <w:tc>
          <w:tcPr>
            <w:tcW w:type="dxa" w:w="2700"/>
          </w:tcPr>
          <w:p>
            <w:pPr>
              <w:jc w:val="left"/>
            </w:pPr>
            <w:r>
              <w:rPr>
                <w:rFonts w:ascii="Arial" w:hAnsi="Arial"/>
                <w:sz w:val="20"/>
              </w:rPr>
              <w:t>Wonderful Day</w:t>
            </w:r>
          </w:p>
        </w:tc>
        <w:tc>
          <w:tcPr>
            <w:tcW w:type="dxa" w:w="1400"/>
          </w:tcPr>
          <w:p>
            <w:pPr>
              <w:jc w:val="center"/>
            </w:pPr>
            <w:r>
              <w:rPr>
                <w:rFonts w:ascii="Arial" w:hAnsi="Arial"/>
                <w:sz w:val="20"/>
              </w:rPr>
              <w:t>0.020</w:t>
            </w:r>
          </w:p>
        </w:tc>
        <w:tc>
          <w:tcPr>
            <w:tcW w:type="dxa" w:w="1900"/>
          </w:tcPr>
          <w:p>
            <w:pPr>
              <w:jc w:val="center"/>
            </w:pPr>
            <w:r>
              <w:rPr>
                <w:rFonts w:ascii="Arial" w:hAnsi="Arial"/>
                <w:sz w:val="20"/>
              </w:rPr>
              <w:t>42.5%</w:t>
            </w:r>
          </w:p>
        </w:tc>
        <w:tc>
          <w:tcPr>
            <w:tcW w:type="dxa" w:w="2200"/>
          </w:tcPr>
          <w:p>
            <w:pPr>
              <w:jc w:val="center"/>
            </w:pPr>
            <w:r>
              <w:rPr>
                <w:rFonts w:ascii="Arial" w:hAnsi="Arial"/>
                <w:sz w:val="20"/>
              </w:rPr>
              <w:t>17.7%</w:t>
            </w:r>
          </w:p>
        </w:tc>
        <w:tc>
          <w:tcPr>
            <w:tcW w:type="dxa" w:w="1160"/>
          </w:tcPr>
          <w:p>
            <w:pPr>
              <w:jc w:val="center"/>
            </w:pPr>
            <w:r>
              <w:rPr>
                <w:rFonts w:ascii="Arial" w:hAnsi="Arial"/>
                <w:sz w:val="20"/>
              </w:rPr>
              <w:t>No</w:t>
            </w:r>
          </w:p>
        </w:tc>
      </w:tr>
      <w:tr>
        <w:tc>
          <w:tcPr>
            <w:tcW w:type="dxa" w:w="2700"/>
          </w:tcPr>
          <w:p>
            <w:pPr>
              <w:jc w:val="left"/>
            </w:pPr>
            <w:r>
              <w:rPr>
                <w:rFonts w:ascii="Arial" w:hAnsi="Arial"/>
                <w:sz w:val="20"/>
              </w:rPr>
              <w:t>Rakuten Fashion sale</w:t>
            </w:r>
          </w:p>
        </w:tc>
        <w:tc>
          <w:tcPr>
            <w:tcW w:type="dxa" w:w="1400"/>
          </w:tcPr>
          <w:p>
            <w:pPr>
              <w:jc w:val="center"/>
            </w:pPr>
            <w:r>
              <w:rPr>
                <w:rFonts w:ascii="Arial" w:hAnsi="Arial"/>
                <w:sz w:val="20"/>
              </w:rPr>
              <w:t>0.014</w:t>
            </w:r>
          </w:p>
        </w:tc>
        <w:tc>
          <w:tcPr>
            <w:tcW w:type="dxa" w:w="1900"/>
          </w:tcPr>
          <w:p>
            <w:pPr>
              <w:jc w:val="center"/>
            </w:pPr>
            <w:r>
              <w:rPr>
                <w:rFonts w:ascii="Arial" w:hAnsi="Arial"/>
                <w:sz w:val="20"/>
              </w:rPr>
              <w:t>-12.5%</w:t>
            </w:r>
          </w:p>
        </w:tc>
        <w:tc>
          <w:tcPr>
            <w:tcW w:type="dxa" w:w="2200"/>
          </w:tcPr>
          <w:p>
            <w:pPr>
              <w:jc w:val="center"/>
            </w:pPr>
            <w:r>
              <w:rPr>
                <w:rFonts w:ascii="Arial" w:hAnsi="Arial"/>
                <w:sz w:val="20"/>
              </w:rPr>
              <w:t>-7.0%</w:t>
            </w:r>
          </w:p>
        </w:tc>
        <w:tc>
          <w:tcPr>
            <w:tcW w:type="dxa" w:w="1160"/>
          </w:tcPr>
          <w:p>
            <w:pPr>
              <w:jc w:val="center"/>
            </w:pPr>
            <w:r>
              <w:rPr>
                <w:rFonts w:ascii="Arial" w:hAnsi="Arial"/>
                <w:sz w:val="20"/>
              </w:rPr>
              <w:t>No</w:t>
            </w:r>
          </w:p>
        </w:tc>
      </w:tr>
      <w:tr>
        <w:tc>
          <w:tcPr>
            <w:tcW w:type="dxa" w:w="2700"/>
          </w:tcPr>
          <w:p>
            <w:pPr>
              <w:jc w:val="left"/>
            </w:pPr>
            <w:r>
              <w:rPr>
                <w:rFonts w:ascii="Arial" w:hAnsi="Arial"/>
                <w:sz w:val="20"/>
              </w:rPr>
              <w:t>Sports win campaign</w:t>
            </w:r>
          </w:p>
        </w:tc>
        <w:tc>
          <w:tcPr>
            <w:tcW w:type="dxa" w:w="1400"/>
          </w:tcPr>
          <w:p>
            <w:pPr>
              <w:jc w:val="center"/>
            </w:pPr>
            <w:r>
              <w:rPr>
                <w:rFonts w:ascii="Arial" w:hAnsi="Arial"/>
                <w:sz w:val="20"/>
              </w:rPr>
              <w:t>0.009</w:t>
            </w:r>
          </w:p>
        </w:tc>
        <w:tc>
          <w:tcPr>
            <w:tcW w:type="dxa" w:w="1900"/>
          </w:tcPr>
          <w:p>
            <w:pPr>
              <w:jc w:val="center"/>
            </w:pPr>
            <w:r>
              <w:rPr>
                <w:rFonts w:ascii="Arial" w:hAnsi="Arial"/>
                <w:sz w:val="20"/>
              </w:rPr>
              <w:t>33.1%</w:t>
            </w:r>
          </w:p>
        </w:tc>
        <w:tc>
          <w:tcPr>
            <w:tcW w:type="dxa" w:w="2200"/>
          </w:tcPr>
          <w:p>
            <w:pPr>
              <w:jc w:val="center"/>
            </w:pPr>
            <w:r>
              <w:rPr>
                <w:rFonts w:ascii="Arial" w:hAnsi="Arial"/>
                <w:sz w:val="20"/>
              </w:rPr>
              <w:t>11.4%</w:t>
            </w:r>
          </w:p>
        </w:tc>
        <w:tc>
          <w:tcPr>
            <w:tcW w:type="dxa" w:w="1160"/>
          </w:tcPr>
          <w:p>
            <w:pPr>
              <w:jc w:val="center"/>
            </w:pPr>
            <w:r>
              <w:rPr>
                <w:rFonts w:ascii="Arial" w:hAnsi="Arial"/>
                <w:sz w:val="20"/>
              </w:rPr>
              <w:t>No</w:t>
            </w:r>
          </w:p>
        </w:tc>
      </w:tr>
      <w:tr>
        <w:tc>
          <w:tcPr>
            <w:tcW w:type="dxa" w:w="2700"/>
          </w:tcPr>
          <w:p>
            <w:pPr>
              <w:jc w:val="left"/>
            </w:pPr>
            <w:r>
              <w:rPr>
                <w:rFonts w:ascii="Arial" w:hAnsi="Arial"/>
                <w:sz w:val="20"/>
              </w:rPr>
              <w:t>18th Ichiba Day</w:t>
            </w:r>
          </w:p>
        </w:tc>
        <w:tc>
          <w:tcPr>
            <w:tcW w:type="dxa" w:w="1400"/>
          </w:tcPr>
          <w:p>
            <w:pPr>
              <w:jc w:val="center"/>
            </w:pPr>
            <w:r>
              <w:rPr>
                <w:rFonts w:ascii="Arial" w:hAnsi="Arial"/>
                <w:sz w:val="20"/>
              </w:rPr>
              <w:t>0.007</w:t>
            </w:r>
          </w:p>
        </w:tc>
        <w:tc>
          <w:tcPr>
            <w:tcW w:type="dxa" w:w="1900"/>
          </w:tcPr>
          <w:p>
            <w:pPr>
              <w:jc w:val="center"/>
            </w:pPr>
            <w:r>
              <w:rPr>
                <w:rFonts w:ascii="Arial" w:hAnsi="Arial"/>
                <w:sz w:val="20"/>
              </w:rPr>
              <w:t>-10.3%</w:t>
            </w:r>
          </w:p>
        </w:tc>
        <w:tc>
          <w:tcPr>
            <w:tcW w:type="dxa" w:w="2200"/>
          </w:tcPr>
          <w:p>
            <w:pPr>
              <w:jc w:val="center"/>
            </w:pPr>
            <w:r>
              <w:rPr>
                <w:rFonts w:ascii="Arial" w:hAnsi="Arial"/>
                <w:sz w:val="20"/>
              </w:rPr>
              <w:t>-5.5%</w:t>
            </w:r>
          </w:p>
        </w:tc>
        <w:tc>
          <w:tcPr>
            <w:tcW w:type="dxa" w:w="1160"/>
          </w:tcPr>
          <w:p>
            <w:pPr>
              <w:jc w:val="center"/>
            </w:pPr>
            <w:r>
              <w:rPr>
                <w:rFonts w:ascii="Arial" w:hAnsi="Arial"/>
                <w:sz w:val="20"/>
              </w:rPr>
              <w:t>No</w:t>
            </w:r>
          </w:p>
        </w:tc>
      </w:tr>
    </w:tbl>
    <w:p/>
    <w:p>
      <w:r>
        <w:t>These results suggest that promotion timing and promotion type are important for predicting fluctuations, especially for quantity sold and inventory planning. Promotions marked "No" were still analyzed, but their measured relationship was weaker or less consistent, so they were not used as primary model features.</w:t>
      </w:r>
    </w:p>
    <w:p>
      <w:pPr>
        <w:pStyle w:val="Heading1"/>
      </w:pPr>
      <w:r>
        <w:t>Dashboard Sections</w:t>
      </w:r>
    </w:p>
    <w:p>
      <w:pPr>
        <w:pStyle w:val="ListBullet"/>
        <w:spacing w:after="80"/>
      </w:pPr>
      <w:r>
        <w:t>Report Summary: gives a boss-ready summary for the selected date range, genre, and item.</w:t>
      </w:r>
    </w:p>
    <w:p>
      <w:pPr>
        <w:pStyle w:val="ListBullet"/>
        <w:spacing w:after="80"/>
      </w:pPr>
      <w:r>
        <w:t>Sales Metrics: shows high-level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Next Steps Plan</w:t>
      </w:r>
    </w:p>
    <w:p>
      <w:pPr>
        <w:pStyle w:val="ListNumber"/>
        <w:spacing w:after="80"/>
      </w:pPr>
      <w:r>
        <w:t>Build the next version of the model to predict future client sales, not only backtest past sales.</w:t>
      </w:r>
    </w:p>
    <w:p>
      <w:pPr>
        <w:pStyle w:val="ListNumber"/>
        <w:spacing w:after="80"/>
      </w:pPr>
      <w:r>
        <w:t>Add client-specific product, store, historical sales, quantity, and promotion participation data.</w:t>
      </w:r>
    </w:p>
    <w:p>
      <w:pPr>
        <w:pStyle w:val="ListNumber"/>
        <w:spacing w:after="80"/>
      </w:pPr>
      <w:r>
        <w:t>Include future-known drivers such as Rakuten promotion dates, point multipliers, coupons, discounts, holidays, and pricing changes.</w:t>
      </w:r>
    </w:p>
    <w:p>
      <w:pPr>
        <w:pStyle w:val="ListNumber"/>
        <w:spacing w:after="80"/>
      </w:pPr>
      <w:r>
        <w:t>Validate the future forecast by training on earlier periods and testing on later unseen periods before using it for client planning.</w:t>
      </w:r>
    </w:p>
    <w:p>
      <w:pPr>
        <w:pStyle w:val="ListNumber"/>
        <w:spacing w:after="80"/>
      </w:pPr>
      <w:r>
        <w:t>Turn the output into a client-ready planning view showing predicted sales, units to prepare, confidence range, and caution areas.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sz w:val="22"/>
        <w:szCs w:val="22"/>
        <w:lang w:val="en-US" w:eastAsia="Arial"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