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sz w:val="28"/>
        </w:rPr>
        <w:t>Physics-Based Mapping of Hyperlocal Campus Pollen Exposure Using Gaussian Plume Modeling</w:t>
      </w:r>
    </w:p>
    <w:p>
      <w:r>
        <w:rPr>
          <w:rFonts w:ascii="Arial" w:hAnsi="Arial"/>
          <w:b w:val="0"/>
          <w:i w:val="0"/>
          <w:sz w:val="22"/>
        </w:rPr>
      </w:r>
    </w:p>
    <w:p>
      <w:r>
        <w:rPr>
          <w:rFonts w:ascii="Arial" w:hAnsi="Arial"/>
          <w:b/>
          <w:i w:val="0"/>
          <w:sz w:val="22"/>
        </w:rPr>
        <w:t>Jasmine J. Zhang^1 and [Senior Author Name]^2</w:t>
      </w:r>
    </w:p>
    <w:p>
      <w:r>
        <w:rPr>
          <w:rFonts w:ascii="Arial" w:hAnsi="Arial"/>
          <w:b w:val="0"/>
          <w:i w:val="0"/>
          <w:sz w:val="22"/>
        </w:rPr>
        <w:t>^1 Henry M. Gunn High School, Palo Alto, CA 94306, USA</w:t>
      </w:r>
    </w:p>
    <w:p>
      <w:r>
        <w:rPr>
          <w:rFonts w:ascii="Arial" w:hAnsi="Arial"/>
          <w:b w:val="0"/>
          <w:i w:val="0"/>
          <w:sz w:val="22"/>
        </w:rPr>
        <w:t>^2 [Senior author affiliation - Department, Institution, City, State]</w:t>
      </w:r>
    </w:p>
    <w:p>
      <w:r>
        <w:rPr>
          <w:rFonts w:ascii="Arial" w:hAnsi="Arial"/>
          <w:b w:val="0"/>
          <w:i w:val="0"/>
          <w:sz w:val="22"/>
        </w:rPr>
      </w:r>
    </w:p>
    <w:p>
      <w:r>
        <w:rPr>
          <w:rFonts w:ascii="Arial" w:hAnsi="Arial"/>
          <w:b w:val="0"/>
          <w:i/>
          <w:sz w:val="22"/>
        </w:rPr>
        <w:t>[SENIOR AUTHOR REQUIRED: JEI requires an adult senior author who supervised the research. Replace the placeholder above with their name and affiliation before submitting.]</w:t>
      </w:r>
    </w:p>
    <w:p>
      <w:r>
        <w:rPr>
          <w:rFonts w:ascii="Arial" w:hAnsi="Arial"/>
          <w:b w:val="0"/>
          <w:i w:val="0"/>
          <w:sz w:val="22"/>
        </w:rPr>
      </w:r>
    </w:p>
    <w:p>
      <w:r>
        <w:rPr>
          <w:rFonts w:ascii="Arial" w:hAnsi="Arial"/>
          <w:b/>
          <w:sz w:val="22"/>
        </w:rPr>
        <w:t>SUMMARY</w:t>
      </w:r>
    </w:p>
    <w:p>
      <w:r>
        <w:rPr>
          <w:rFonts w:ascii="Arial" w:hAnsi="Arial"/>
          <w:b w:val="0"/>
          <w:i w:val="0"/>
          <w:sz w:val="22"/>
        </w:rPr>
        <w:t>Allergic rhinitis affects 10-30% of people, and airborne pollen is its leading environmental trigger. Regional pollen forecasts report a single value for an entire city, so they cannot explain why symptoms differ between one campus walkway and another only tens of meters away. We asked whether the pollen exposure a student experiences while walking across a school campus can be predicted at meter scale from the physics of how pollen travels through air. We hypothesized that coupling a two-dimensional potential-flow wind field, which deflects and channels the wind around buildings, with a steady-state Gaussian plume solution of the atmospheric advection-diffusion equation, driven by the measured positions of individual trees, would reproduce the sharp, building- and wind-dependent concentration gradients that regional monitors miss. To test this, we built Campus AeroAllergen Mapping (CAM), a web system that locates individual trees from satellite imagery and detects building rooftops with a deep-learning segmentation model, models each tree as a pollen source, and superposes their plumes along the local wind at a student breathing height of 1.5 m. We applied CAM to two campuses of contrasting scale: Henry M. Gunn High School (about 900 trees across seven allergenic genera) and the Stanford University core (thousands of trees and building rooftops). The model produced meter-scale concentration fields in a few seconds, showing plumes bending along the flow diverted around buildings, near-zero concentration over building footprints, and elevated pollen in tree-dense corridors. Anchoring the species mix to published campus tree inventories reproduced a spring oak peak and, on Gunn, a secondary autumn peak driven by fall-pollinating cedar. These results support the hypothesis that hyperlocal pollen exposure is predictable from physical modeling. The system reports lower-exposure walking routes, though we have not yet validated its predictions against measured pollen counts.</w:t>
      </w:r>
    </w:p>
    <w:p>
      <w:r>
        <w:rPr>
          <w:rFonts w:ascii="Arial" w:hAnsi="Arial"/>
          <w:b w:val="0"/>
          <w:i w:val="0"/>
          <w:sz w:val="22"/>
        </w:rPr>
      </w:r>
    </w:p>
    <w:p>
      <w:r>
        <w:rPr>
          <w:rFonts w:ascii="Arial" w:hAnsi="Arial"/>
          <w:b/>
          <w:sz w:val="22"/>
        </w:rPr>
        <w:t>INTRODUCTION</w:t>
      </w:r>
    </w:p>
    <w:p>
      <w:r>
        <w:rPr>
          <w:rFonts w:ascii="Arial" w:hAnsi="Arial"/>
          <w:b w:val="0"/>
          <w:i w:val="0"/>
          <w:sz w:val="22"/>
        </w:rPr>
        <w:t>Allergic rhinitis affects an estimated 10-30% of the global population, with airborne pollen constituting the dominant environmental trigger (1). For students with pollen allergies, the school day involves repeated outdoor transits between buildings, often along walkways lined with allergenic trees. Anecdotally, symptoms can change dramatically over very short distances, suggesting that pollen concentration is not uniform across a campus but varies sharply with the position of individual trees, the direction of the wind, and the layout of buildings.</w:t>
      </w:r>
    </w:p>
    <w:p>
      <w:r>
        <w:rPr>
          <w:rFonts w:ascii="Arial" w:hAnsi="Arial"/>
          <w:b w:val="0"/>
          <w:i w:val="0"/>
          <w:sz w:val="22"/>
        </w:rPr>
        <w:t>Existing pollen monitoring relies on regional stations that report area-averaged counts at temporal resolutions of hours to days (2). A single citywide number cannot resolve the concentration gradients that determine what an individual actually breathes during a five-minute walk between classes. The physics governing how pollen moves through air, however, is well established: pollen released from a source is carried by wind (advection) and spread by turbulence (diffusion), a process described by the advection-diffusion equation whose steady-state solution is the Gaussian plume model (3, 4). This model is widely used for industrial emissions but is rarely applied at the meter scale of a single campus, and rarely with the true positions of hundreds of individual biological sources.</w:t>
      </w:r>
    </w:p>
    <w:p>
      <w:r>
        <w:rPr>
          <w:rFonts w:ascii="Arial" w:hAnsi="Arial"/>
          <w:b w:val="0"/>
          <w:i w:val="0"/>
          <w:sz w:val="22"/>
        </w:rPr>
        <w:t>We therefore asked whether the hyperlocal pollen exposure experienced by a student walking across a campus can be predicted from first-principles atmospheric physics. We hypothesized that a steady-state Gaussian plume model, driven by the measured positions of individual trees, real-time wind, species-specific bloom timing, and a wind field that flows around campus buildings, would reproduce the sharp spatial concentration gradients that regional monitoring cannot capture, and would do so quickly enough for interactive daily use. To test this, we developed Campus AeroAllergen Mapping (CAM), a system that (i) identifies pollen sources (tree canopies) and building rooftops from satellite imagery, the latter using a pretrained deep-learning segmentation model, (ii) computes a two-dimensional potential-flow wind field that deflects and channels the wind around the buildings, (iii) solves the advection-diffusion equation analytically at each source using the local wind, (iv) modulates emission by species-specific phenology, and (v) integrates exposure along student walking paths. We deployed and evaluated the system on two campuses of contrasting scale and layout: Henry M. Gunn High School (Palo Alto, CA), a 25-hectare campus with about 900 mapped trees, and the core of Stanford University, with thousands of trees and buildings.</w:t>
      </w:r>
    </w:p>
    <w:p>
      <w:r>
        <w:rPr>
          <w:rFonts w:ascii="Arial" w:hAnsi="Arial"/>
          <w:b w:val="0"/>
          <w:i w:val="0"/>
          <w:sz w:val="22"/>
        </w:rPr>
      </w:r>
    </w:p>
    <w:p>
      <w:r>
        <w:rPr>
          <w:rFonts w:ascii="Arial" w:hAnsi="Arial"/>
          <w:b/>
          <w:sz w:val="22"/>
        </w:rPr>
        <w:t>RESULTS</w:t>
      </w:r>
    </w:p>
    <w:p>
      <w:r>
        <w:rPr>
          <w:rFonts w:ascii="Arial" w:hAnsi="Arial"/>
          <w:b w:val="0"/>
          <w:i w:val="0"/>
          <w:sz w:val="22"/>
        </w:rPr>
        <w:t>To test whether campus pollen exposure could be predicted from physical modeling, we first needed the locations of the pollen sources. We detected tree canopies from high-resolution satellite imagery using color-based segmentation with watershed splitting, and building rooftops using the Segment Anything Model (SAM), a pretrained deep-learning segmentation network, followed by human verification through an interactive map editor (see Materials and Methods). To keep the labeling faithful to each real campus, we anchored the species mix to published tree inventories. For Gunn, the 2009 Palo Alto Unified School District arborist survey of 455 numbered trees is dominated by Valley Oak (25.5%), Coast Redwood (20.2%), and Coast Live Oak (15.4%), with Cedar, Western Sycamore, and Chinese Elm following; all oaks together make up about 42%. We labeled the roughly 900 mapped Gunn canopies against these seven allergenic genera and assigned the long tail of unmodeled ornamental genera to a generic 'Other' class. For the much larger Stanford core, tiled SAM detection identified on the order of 3,000 building rooftops and about 9,900 raw tree canopies; after geometrically removing canopies that fell mostly on rooftops (about 43% of the raw detections, likely false positives), about 5,650 trees remained, which we labeled against Stanford's six most abundant genera reported in its campus inventory (Coast Live Oak, the single most numerous species at about 40%, plus Canary Island Palm, Eucalyptus, Coast Redwood, Valley Oak, and Olive).</w:t>
      </w:r>
    </w:p>
    <w:p>
      <w:r>
        <w:rPr>
          <w:rFonts w:ascii="Arial" w:hAnsi="Arial"/>
          <w:b w:val="0"/>
          <w:i w:val="0"/>
          <w:sz w:val="22"/>
        </w:rPr>
        <w:t>We then computed the pollen concentration field by first solving a two-dimensional potential-flow wind field that deflects and channels the ambient wind around the detected building footprints, and then modeling each detected tree as a Gaussian plume driven by the local wind at its location, summing the contributions at a student breathing height of 1.5 m. The resulting fields displayed the spatial structure predicted by advection-diffusion physics (Figure 1). Concentration was highest immediately downwind of dense tree clusters and fell off as a bell-shaped curve to either side of the plume centerline; stronger modeled winds elongated and diluted the plumes, while more stable atmospheric conditions confined them into narrow, concentrated bands. These patterns match the behavior the Gaussian plume solution predicts.</w:t>
      </w:r>
    </w:p>
    <w:p>
      <w:r>
        <w:rPr>
          <w:rFonts w:ascii="Arial" w:hAnsi="Arial"/>
          <w:b w:val="0"/>
          <w:i w:val="0"/>
          <w:sz w:val="22"/>
        </w:rPr>
        <w:t>Because pollen grains differ in size and density, we compared modeled plumes across species (Figure 2). Small, light Oak grains (settling velocity approximately 0.5 cm/s) produced wide, far-reaching plumes that kept concentrations elevated hundreds of meters downwind, whereas large, heavy Pine grains (approximately 3.1 cm/s) produced intense but localized concentrations that decayed sharply within 20-50 m of the source. This species dependence means the model predicts distinct exposure hot spots near pines but broad background exposure from oaks.</w:t>
      </w:r>
    </w:p>
    <w:p>
      <w:r>
        <w:rPr>
          <w:rFonts w:ascii="Arial" w:hAnsi="Arial"/>
          <w:b w:val="0"/>
          <w:i w:val="0"/>
          <w:sz w:val="22"/>
        </w:rPr>
        <w:t>Pollen emission is strongly seasonal, so we modulated each source by a species-specific temporal gate function (Figure 3). Most campus genera bloom in late winter through spring, but cedar pollinates in the fall, so the model produces a dominant spring peak driven by oaks and a distinct secondary autumn peak on the Gunn campus. Using a fixed annual concentration scale (500 grains/m^3 defined as the spring peak) to enable seasonal comparison, the modeled spring maximum reached several hundred grains/m^3 with multiple species actively emitting, fell to a low background in early summer once the oaks finished, and dropped to effectively zero in mid-winter when all species were dormant. This quantifies how strongly exposure depends on the time of year.</w:t>
      </w:r>
    </w:p>
    <w:p>
      <w:r>
        <w:rPr>
          <w:rFonts w:ascii="Arial" w:hAnsi="Arial"/>
          <w:b w:val="0"/>
          <w:i w:val="0"/>
          <w:sz w:val="22"/>
        </w:rPr>
        <w:t>The current model is driven by wind speed, wind direction, and atmospheric stability class. We retrieve relative humidity and temperature from the weather service and display them, but they do not yet enter the dispersion calculation (temperature only informs the stability-class estimate). Because humidity is known to strongly modulate real pollen loads, we designed, but have not yet implemented, a humidity coupling in which emission is suppressed at high relative humidity (anthers require drying to release grains), hygroscopic swelling increases grain settling, and rainfall scavenges airborne pollen (Figure 4); the qualitative form of these responses is shown for reference. Implementing and validating this coupling against measured pollen and weather data is planned future work.</w:t>
      </w:r>
    </w:p>
    <w:p>
      <w:r>
        <w:rPr>
          <w:rFonts w:ascii="Arial" w:hAnsi="Arial"/>
          <w:b w:val="0"/>
          <w:i w:val="0"/>
          <w:sz w:val="22"/>
        </w:rPr>
        <w:t>Finally, the complete concentration field over each campus showed consistent features: plumes bending along the potential-flow streamlines as the wind was diverted around buildings, near-zero concentration over building footprints (where outdoor air is excluded), locally elevated concentration where the flow was channeled between closely spaced buildings, and elevated concentrations in oak-dense corridors. Each full-campus field was computed in a few seconds on a standard server (well under one second for Gunn), fast enough for interactive, real-time use even with the thousands of sources on the Stanford campus.</w:t>
      </w:r>
    </w:p>
    <w:p>
      <w:r>
        <w:rPr>
          <w:rFonts w:ascii="Arial" w:hAnsi="Arial"/>
          <w:b w:val="0"/>
          <w:i w:val="0"/>
          <w:sz w:val="22"/>
        </w:rPr>
      </w:r>
    </w:p>
    <w:p>
      <w:r>
        <w:rPr>
          <w:rFonts w:ascii="Arial" w:hAnsi="Arial"/>
          <w:b/>
          <w:sz w:val="22"/>
        </w:rPr>
        <w:t>DISCUSSION</w:t>
      </w:r>
    </w:p>
    <w:p>
      <w:r>
        <w:rPr>
          <w:rFonts w:ascii="Arial" w:hAnsi="Arial"/>
          <w:b w:val="0"/>
          <w:i w:val="0"/>
          <w:sz w:val="22"/>
        </w:rPr>
        <w:t>Our results support the hypothesis that the pollen exposure experienced while walking across a campus can be predicted at meter scale from the physics of atmospheric transport, rather than requiring a dense network of physical sensors. By modeling each detected tree as a Gaussian plume source driven by a potential-flow wind field around the buildings, the system reproduced the concentration gradients that regional, city-scale monitoring inherently averages away: plumes bending along the flow diverted around buildings, species-dependent hot spots, building exclusion zones, and channeling between closely spaced structures. The few-second computation time makes the approach practical as an interactive tool that a student could consult before choosing a route to class.</w:t>
      </w:r>
    </w:p>
    <w:p>
      <w:r>
        <w:rPr>
          <w:rFonts w:ascii="Arial" w:hAnsi="Arial"/>
          <w:b w:val="0"/>
          <w:i w:val="0"/>
          <w:sz w:val="22"/>
        </w:rPr>
        <w:t>Several limitations should temper interpretation of these results. First, and most importantly, the model has not yet been validated against ground-truth pollen measurements; our results demonstrate that the system reproduces the qualitative spatial structure predicted by dispersion theory, but they do not establish quantitative accuracy of the predicted concentrations. Direct comparison against co-located pollen samplers is the essential next step. Second, our two-dimensional potential-flow wind field is inviscid: it captures how wind is diverted and channeled around buildings but produces no turbulent wake or recirculation zone behind them, so pollen trapping in lee zones is not represented; a viscous computational-fluid-dynamics treatment would be required to capture that. Third, species were classified from RGB satellite imagery and a size-based heuristic, which is imperfect; hyperspectral imagery or ground surveys would improve species assignment, which in turn affects emission timing and potency. Fourth, several physical parameters (base emission rates, potency weights, phenological windows) are drawn from the literature rather than measured on site, so absolute concentrations should be treated as modeled estimates rather than measurements.</w:t>
      </w:r>
    </w:p>
    <w:p>
      <w:r>
        <w:rPr>
          <w:rFonts w:ascii="Arial" w:hAnsi="Arial"/>
          <w:b w:val="0"/>
          <w:i w:val="0"/>
          <w:sz w:val="22"/>
        </w:rPr>
        <w:t>The human-in-the-loop calibration workflow proved important: fully automated detection reached only about 75% precision, but three rounds of targeted human correction raised it above 95%. This suggests that for campus-scale problems, semi-automated pipelines that combine algorithmic detection with focused human verification are more practical than fully autonomous detection. It also highlights that the quality of the physical prediction depends directly on the quality of the source map that feeds it.</w:t>
      </w:r>
    </w:p>
    <w:p>
      <w:r>
        <w:rPr>
          <w:rFonts w:ascii="Arial" w:hAnsi="Arial"/>
          <w:b w:val="0"/>
          <w:i w:val="0"/>
          <w:sz w:val="22"/>
        </w:rPr>
        <w:t>A practical implication concerns risk communication. Because absolute counts are hard to interpret without context, the fixed annual scale is useful: a June reading of 30 grains/m^3 could alarm a student if shown in isolation, but is clearly low when displayed against the 500 grains/m^3 spring peak that represents the true high-risk period. Future work should focus on quantitative validation against physical pollen samplers, incorporation of building-resolved airflow, and prospective testing of whether model-recommended routes actually reduce measured symptoms. In summary, we built and deployed a physics-based system that predicts hyperlocal campus pollen exposure at meter scale in real time, and our findings support its central hypothesis while clearly defining the validation work still needed.</w:t>
      </w:r>
    </w:p>
    <w:p>
      <w:r>
        <w:rPr>
          <w:rFonts w:ascii="Arial" w:hAnsi="Arial"/>
          <w:b w:val="0"/>
          <w:i w:val="0"/>
          <w:sz w:val="22"/>
        </w:rPr>
      </w:r>
    </w:p>
    <w:p>
      <w:r>
        <w:rPr>
          <w:rFonts w:ascii="Arial" w:hAnsi="Arial"/>
          <w:b/>
          <w:sz w:val="22"/>
        </w:rPr>
        <w:t>MATERIALS AND METHODS</w:t>
      </w:r>
    </w:p>
    <w:p>
      <w:r>
        <w:rPr>
          <w:rFonts w:ascii="Arial" w:hAnsi="Arial"/>
          <w:b w:val="0"/>
          <w:i/>
          <w:sz w:val="22"/>
        </w:rPr>
        <w:t>Atmospheric dispersion model</w:t>
      </w:r>
    </w:p>
    <w:p>
      <w:r>
        <w:rPr>
          <w:rFonts w:ascii="Arial" w:hAnsi="Arial"/>
          <w:b w:val="0"/>
          <w:i w:val="0"/>
          <w:sz w:val="22"/>
        </w:rPr>
        <w:t>Pollen transport was modeled with the steady-state solution of the atmospheric advection-diffusion equation, the Gaussian plume model (3, 4). For a single source, the concentration at a receptor is C(x',y',z) = [Q / (2 pi U sigma_y sigma_z)] * exp(-y'^2 / 2 sigma_y^2) * V(z), where Q is the source emission rate (grains/s), U is the mean wind speed (m/s), x' and y' are downwind and crosswind distances in a wind-aligned coordinate frame, and sigma_y and sigma_z are the crosswind and vertical plume spreads. The vertical term V(z) includes a ground-reflection image source so that no pollen is lost through the ground. Receptor height was fixed at z = 1.5 m (student breathing height) and effective source height at H = 6.0 m (mean campus canopy).</w:t>
      </w:r>
    </w:p>
    <w:p>
      <w:r>
        <w:rPr>
          <w:rFonts w:ascii="Arial" w:hAnsi="Arial"/>
          <w:b w:val="0"/>
          <w:i w:val="0"/>
          <w:sz w:val="22"/>
        </w:rPr>
        <w:t>Plume spreads followed Pasquill-Gifford power laws, sigma_y = a_y (x')^b_y and sigma_z = a_z (x')^b_z, with coefficients tabulated for atmospheric stability classes A-F (Table 1). Stability was estimated from wind speed and cloud cover using Turner's method (5). Species-dependent gravitational settling was included via Stokes' law, tilting the plume centerline downward with distance. Rather than assuming a spatially uniform wind, we first solved a two-dimensional potential-flow wind field on the same grid by treating the horizontal flow as incompressible and irrotational (Laplace's equation) with the detected building footprints as no-penetration obstacles; this deflects and channels the ambient wind around buildings. Each tree's plume was then driven by the local wind sampled at its own grid cell, so plumes bend and stretch with the flow. Because the governing equation is linear, the total field from all N sources was obtained by superposition, C_total = sum of C_i, evaluated with vectorized array operations over a 120 x 120 spatial grid. Concentration over detected building footprints was set to zero to represent indoor exclusion. The model uses wind speed, wind direction, and stability class as its meteorological inputs; humidity and temperature are displayed but do not currently enter the calculation (see Results and Discussion).</w:t>
      </w:r>
    </w:p>
    <w:p>
      <w:r>
        <w:rPr>
          <w:rFonts w:ascii="Arial" w:hAnsi="Arial"/>
          <w:b w:val="0"/>
          <w:i/>
          <w:sz w:val="22"/>
        </w:rPr>
        <w:t>Phenological emission model</w:t>
      </w:r>
    </w:p>
    <w:p>
      <w:r>
        <w:rPr>
          <w:rFonts w:ascii="Arial" w:hAnsi="Arial"/>
          <w:b w:val="0"/>
          <w:i w:val="0"/>
          <w:sz w:val="22"/>
        </w:rPr>
        <w:t>Each species' time-varying emission was modeled as Q_i(t) = Q_base,i * W_i * Gamma_i(t), where Q_base,i is the peak base emission rate (grains/s), W_i is a dimensionless allergen potency weight (0-5), and Gamma_i(t) is a truncated Gaussian temporal gate, Gamma_i(t) = exp(-(t - t_peak)^2 / (2 sigma_t^2)) within the pollination window [t_start, t_end] and zero otherwise, with t the Julian day of year. Base emission rates, potency weights, and phenological windows for the campus genera were taken from aerobiological literature and Bay Area regional data (7) (Table 2). Trees not confidently assigned to a modeled genus were placed in a generic Other class, modeled as a prevalence-weighted blend of each campus's unmodeled tail genera so that unclassified canopies still contribute a realistic, inventory-grounded background. Relative humidity and temperature are retrieved from the weather service and displayed, but do not currently modify emission or transport; a humidity coupling (emission suppression, hygroscopic swelling, and rainfall washout) is described as future work.</w:t>
      </w:r>
    </w:p>
    <w:p>
      <w:r>
        <w:rPr>
          <w:rFonts w:ascii="Arial" w:hAnsi="Arial"/>
          <w:b w:val="0"/>
          <w:i/>
          <w:sz w:val="22"/>
        </w:rPr>
        <w:t>Satellite-based vegetation detection</w:t>
      </w:r>
    </w:p>
    <w:p>
      <w:r>
        <w:rPr>
          <w:rFonts w:ascii="Arial" w:hAnsi="Arial"/>
          <w:b w:val="0"/>
          <w:i w:val="0"/>
          <w:sz w:val="22"/>
        </w:rPr>
        <w:t>Campus satellite imagery (approximately 0.5 m/pixel) was obtained from public sources per campus (Esri World Imagery for Gunn; USGS NAIP, stitched seam-free from Web-Mercator tiles, for the Stanford core). Tree-canopy pixels were classified with color thresholds calibrated on human-verified samples using green excess g_e = g - (r + b)/2 and mean brightness. Adjacent canopies were separated using marker-controlled watershed segmentation (8): the binary canopy mask was eroded to form seed markers, a Euclidean distance transform was computed, and the watershed algorithm segmented individual canopies. Each detected canopy was assigned a species; to keep labels faithful to each campus, species proportions were anchored to published tree inventories, and canopies not confidently identified were placed in the Other class. Building rooftops, which are hard to separate from pavement and dry ground by color alone, were detected with the Segment Anything Model (SAM) (9), a pretrained deep-learning segmentation network, run on overlapping image tiles so small rooftops resolve at higher effective resolution and then merged; retained masks were filtered by rooftop color, size, and compactness and reduced to oriented rectangles. On the dense Stanford core, tree candidates whose canopy disk overlapped a detected building footprint by more than 50 percent were removed as rooftop false positives. Detected footprints define the indoor exclusion mask and the obstacles for the potential-flow wind field. SAM was run once at cache-generation time; the deployed server runs no machine-learning model.</w:t>
      </w:r>
    </w:p>
    <w:p>
      <w:r>
        <w:rPr>
          <w:rFonts w:ascii="Arial" w:hAnsi="Arial"/>
          <w:b w:val="0"/>
          <w:i/>
          <w:sz w:val="22"/>
        </w:rPr>
        <w:t>Human-in-the-loop calibration</w:t>
      </w:r>
    </w:p>
    <w:p>
      <w:r>
        <w:rPr>
          <w:rFonts w:ascii="Arial" w:hAnsi="Arial"/>
          <w:b w:val="0"/>
          <w:i w:val="0"/>
          <w:sz w:val="22"/>
        </w:rPr>
        <w:t>Detection was refined iteratively through an interactive map editor: automated detection proposed candidates, and a reviewer corrected them directly on the satellite basemap. For trees this included deleting false positives, relocating a canopy, resizing its radius (which rescales that tree's emission by canopy area), and reclassifying its species; for buildings it included editing each footprint's name, floor count, position, and shape, including non-rectangular (parallelogram or trapezoid) footprints. Corrections were persisted to the per-campus detection cache the server serves, so the physical model always reflects the reviewed geometry. Automated detection alone reached roughly 75 percent precision; targeted human correction raised it above 95 percent.</w:t>
      </w:r>
    </w:p>
    <w:p>
      <w:r>
        <w:rPr>
          <w:rFonts w:ascii="Arial" w:hAnsi="Arial"/>
          <w:b w:val="0"/>
          <w:i/>
          <w:sz w:val="22"/>
        </w:rPr>
        <w:t>Exposure assessment</w:t>
      </w:r>
    </w:p>
    <w:p>
      <w:r>
        <w:rPr>
          <w:rFonts w:ascii="Arial" w:hAnsi="Arial"/>
          <w:b w:val="0"/>
          <w:i w:val="0"/>
          <w:sz w:val="22"/>
        </w:rPr>
        <w:t>Cumulative exposure (dose) along a walking path was computed by numerically integrating the concentration field along the route at a walking speed of 1.4 m/s, D = sum over path segments of C(x_k) * delta t_k. Dose was mapped to interpretable risk levels (Low, Moderate, High, Very High) using fixed thresholds.</w:t>
      </w:r>
    </w:p>
    <w:p>
      <w:r>
        <w:rPr>
          <w:rFonts w:ascii="Arial" w:hAnsi="Arial"/>
          <w:b w:val="0"/>
          <w:i/>
          <w:sz w:val="22"/>
        </w:rPr>
        <w:t>Implementation and availability</w:t>
      </w:r>
    </w:p>
    <w:p>
      <w:r>
        <w:rPr>
          <w:rFonts w:ascii="Arial" w:hAnsi="Arial"/>
          <w:b w:val="0"/>
          <w:i w:val="0"/>
          <w:sz w:val="22"/>
        </w:rPr>
        <w:t>The computational engine was implemented in Python (NumPy, SciPy, scikit-image) behind a Flask web service, with a React/TypeScript front end rendering an interactive campus map and pollen heatmap. Weather inputs were obtained from a public weather API, with mock data used when no API key was configured. The complete source code and campus data are available at https://github.com/jasminejz2021ai/pollenWebApp, and a live deployment is available at https://pollen-web-app-seven.vercel.app/.</w:t>
      </w:r>
    </w:p>
    <w:p>
      <w:r>
        <w:rPr>
          <w:rFonts w:ascii="Arial" w:hAnsi="Arial"/>
          <w:b w:val="0"/>
          <w:i w:val="0"/>
          <w:sz w:val="22"/>
        </w:rPr>
      </w:r>
    </w:p>
    <w:p>
      <w:r>
        <w:rPr>
          <w:rFonts w:ascii="Arial" w:hAnsi="Arial"/>
          <w:b/>
          <w:sz w:val="22"/>
        </w:rPr>
        <w:t>ACKNOWLEDGMENTS</w:t>
      </w:r>
    </w:p>
    <w:p>
      <w:r>
        <w:rPr>
          <w:rFonts w:ascii="Arial" w:hAnsi="Arial"/>
          <w:b w:val="0"/>
          <w:i w:val="0"/>
          <w:sz w:val="22"/>
        </w:rPr>
        <w:t>The author thanks the Palo Alto Unified School District for access to campus tree inventory records. [Add any mentors, teachers, or advisors who assisted but are not authors. Per JEI policy, disclose any assistance here.]</w:t>
      </w:r>
    </w:p>
    <w:p>
      <w:r>
        <w:rPr>
          <w:rFonts w:ascii="Arial" w:hAnsi="Arial"/>
          <w:b w:val="0"/>
          <w:i w:val="0"/>
          <w:sz w:val="22"/>
        </w:rPr>
      </w:r>
    </w:p>
    <w:p>
      <w:r>
        <w:rPr>
          <w:rFonts w:ascii="Arial" w:hAnsi="Arial"/>
          <w:b/>
          <w:sz w:val="22"/>
        </w:rPr>
        <w:t>REFERENCES</w:t>
      </w:r>
    </w:p>
    <w:p>
      <w:r>
        <w:rPr>
          <w:rFonts w:ascii="Arial" w:hAnsi="Arial"/>
          <w:b w:val="0"/>
          <w:i w:val="0"/>
          <w:sz w:val="22"/>
        </w:rPr>
        <w:t>1. Bousquet, J., Khaltaev, N., Cruz, A. A., et al. Allergic rhinitis and its impact on asthma (ARIA) 2008 update. Allergy 63 (Suppl. 86), 8-160 (2008).</w:t>
      </w:r>
    </w:p>
    <w:p>
      <w:r>
        <w:rPr>
          <w:rFonts w:ascii="Arial" w:hAnsi="Arial"/>
          <w:b w:val="0"/>
          <w:i w:val="0"/>
          <w:sz w:val="22"/>
        </w:rPr>
        <w:t>2. Sofiev, M., Siljamo, P., Ranta, H., Linkosalo, T., et al. A numerical model of birch pollen emission and dispersion in the atmosphere. International Journal of Biometeorology 57, 45-58 (2013).</w:t>
      </w:r>
    </w:p>
    <w:p>
      <w:r>
        <w:rPr>
          <w:rFonts w:ascii="Arial" w:hAnsi="Arial"/>
          <w:b w:val="0"/>
          <w:i w:val="0"/>
          <w:sz w:val="22"/>
        </w:rPr>
        <w:t>3. Pasquill, F. The estimation of the dispersion of windborne material. Meteorological Magazine 90, 33-49 (1961).</w:t>
      </w:r>
    </w:p>
    <w:p>
      <w:r>
        <w:rPr>
          <w:rFonts w:ascii="Arial" w:hAnsi="Arial"/>
          <w:b w:val="0"/>
          <w:i w:val="0"/>
          <w:sz w:val="22"/>
        </w:rPr>
        <w:t>4. Gifford, F. A. Use of routine meteorological observations for estimating atmospheric dispersion. Nuclear Safety 2, 47-51 (1961).</w:t>
      </w:r>
    </w:p>
    <w:p>
      <w:r>
        <w:rPr>
          <w:rFonts w:ascii="Arial" w:hAnsi="Arial"/>
          <w:b w:val="0"/>
          <w:i w:val="0"/>
          <w:sz w:val="22"/>
        </w:rPr>
        <w:t>5. Turner, D. B. A diffusion model for an urban area. Journal of Applied Meteorology 3, 83-91 (1964).</w:t>
      </w:r>
    </w:p>
    <w:p>
      <w:r>
        <w:rPr>
          <w:rFonts w:ascii="Arial" w:hAnsi="Arial"/>
          <w:b w:val="0"/>
          <w:i w:val="0"/>
          <w:sz w:val="22"/>
        </w:rPr>
        <w:t>6. Schulman, L. L. and Scire, J. S. Buoyant line and point source (BLP) dispersion model user's guide. Technical report, Environmental Research and Technology (1980).</w:t>
      </w:r>
    </w:p>
    <w:p>
      <w:r>
        <w:rPr>
          <w:rFonts w:ascii="Arial" w:hAnsi="Arial"/>
          <w:b w:val="0"/>
          <w:i w:val="0"/>
          <w:sz w:val="22"/>
        </w:rPr>
        <w:t>7. Bastl, K., Kmenta, M. and Berger, U. Defining pollen seasons: background and recommendations. Current Allergy and Asthma Reports 18, 73 (2016).</w:t>
      </w:r>
    </w:p>
    <w:p>
      <w:r>
        <w:rPr>
          <w:rFonts w:ascii="Arial" w:hAnsi="Arial"/>
          <w:b w:val="0"/>
          <w:i w:val="0"/>
          <w:sz w:val="22"/>
        </w:rPr>
        <w:t>8. Beucher, S. and Meyer, F. The morphological approach to segmentation: the watershed transformation. In Mathematical Morphology in Image Processing, 433-481 (1992).</w:t>
      </w:r>
    </w:p>
    <w:p>
      <w:r>
        <w:rPr>
          <w:rFonts w:ascii="Arial" w:hAnsi="Arial"/>
          <w:b w:val="0"/>
          <w:i w:val="0"/>
          <w:sz w:val="22"/>
        </w:rPr>
        <w:t>9. Kirillov, A., Mintun, E., Ravi, N., et al. Segment Anything. In Proceedings of the IEEE/CVF International Conference on Computer Vision (ICCV) (2023).</w:t>
      </w:r>
    </w:p>
    <w:p>
      <w:r>
        <w:rPr>
          <w:rFonts w:ascii="Arial" w:hAnsi="Arial"/>
          <w:b w:val="0"/>
          <w:i w:val="0"/>
          <w:sz w:val="22"/>
        </w:rPr>
      </w:r>
    </w:p>
    <w:p>
      <w:r>
        <w:rPr>
          <w:rFonts w:ascii="Arial" w:hAnsi="Arial"/>
          <w:b/>
          <w:sz w:val="22"/>
        </w:rPr>
        <w:t>FIGURES</w:t>
      </w:r>
    </w:p>
    <w:p>
      <w:r>
        <w:drawing>
          <wp:inline xmlns:a="http://schemas.openxmlformats.org/drawingml/2006/main" xmlns:pic="http://schemas.openxmlformats.org/drawingml/2006/picture">
            <wp:extent cx="5486400" cy="3377260"/>
            <wp:docPr id="1" name="Picture 1"/>
            <wp:cNvGraphicFramePr>
              <a:graphicFrameLocks noChangeAspect="1"/>
            </wp:cNvGraphicFramePr>
            <a:graphic>
              <a:graphicData uri="http://schemas.openxmlformats.org/drawingml/2006/picture">
                <pic:pic>
                  <pic:nvPicPr>
                    <pic:cNvPr id="0" name="fig1_wind_stability.png"/>
                    <pic:cNvPicPr/>
                  </pic:nvPicPr>
                  <pic:blipFill>
                    <a:blip r:embed="rId9"/>
                    <a:stretch>
                      <a:fillRect/>
                    </a:stretch>
                  </pic:blipFill>
                  <pic:spPr>
                    <a:xfrm>
                      <a:off x="0" y="0"/>
                      <a:ext cx="5486400" cy="3377260"/>
                    </a:xfrm>
                    <a:prstGeom prst="rect"/>
                  </pic:spPr>
                </pic:pic>
              </a:graphicData>
            </a:graphic>
          </wp:inline>
        </w:drawing>
      </w:r>
    </w:p>
    <w:p>
      <w:r>
        <w:rPr>
          <w:rFonts w:ascii="Arial" w:hAnsi="Arial"/>
          <w:b w:val="0"/>
          <w:i w:val="0"/>
          <w:sz w:val="22"/>
        </w:rPr>
        <w:t>Figure 1. Modeled Gaussian plume concentration fields under varying conditions. Top row: effect of wind speed at neutral stability (class D); stronger winds dilute and elongate the plume. Bottom row: effect of atmospheric stability at fixed wind speed (3.5 m/s); unstable conditions (A) spread pollen rapidly, while stable conditions (F) confine it in a narrow, concentrated plume.</w:t>
      </w:r>
    </w:p>
    <w:p>
      <w:r>
        <w:rPr>
          <w:rFonts w:ascii="Arial" w:hAnsi="Arial"/>
          <w:b w:val="0"/>
          <w:i w:val="0"/>
          <w:sz w:val="22"/>
        </w:rPr>
      </w:r>
    </w:p>
    <w:p>
      <w:r>
        <w:drawing>
          <wp:inline xmlns:a="http://schemas.openxmlformats.org/drawingml/2006/main" xmlns:pic="http://schemas.openxmlformats.org/drawingml/2006/picture">
            <wp:extent cx="5486400" cy="1795357"/>
            <wp:docPr id="2" name="Picture 2"/>
            <wp:cNvGraphicFramePr>
              <a:graphicFrameLocks noChangeAspect="1"/>
            </wp:cNvGraphicFramePr>
            <a:graphic>
              <a:graphicData uri="http://schemas.openxmlformats.org/drawingml/2006/picture">
                <pic:pic>
                  <pic:nvPicPr>
                    <pic:cNvPr id="0" name="fig2_species_comparison.png"/>
                    <pic:cNvPicPr/>
                  </pic:nvPicPr>
                  <pic:blipFill>
                    <a:blip r:embed="rId10"/>
                    <a:stretch>
                      <a:fillRect/>
                    </a:stretch>
                  </pic:blipFill>
                  <pic:spPr>
                    <a:xfrm>
                      <a:off x="0" y="0"/>
                      <a:ext cx="5486400" cy="1795357"/>
                    </a:xfrm>
                    <a:prstGeom prst="rect"/>
                  </pic:spPr>
                </pic:pic>
              </a:graphicData>
            </a:graphic>
          </wp:inline>
        </w:drawing>
      </w:r>
    </w:p>
    <w:p>
      <w:r>
        <w:rPr>
          <w:rFonts w:ascii="Arial" w:hAnsi="Arial"/>
          <w:b w:val="0"/>
          <w:i w:val="0"/>
          <w:sz w:val="22"/>
        </w:rPr>
        <w:t>Figure 2. Species-dependent plume shapes resulting from different grain settling velocities. Small, light Oak grains produce wide, far-reaching plumes, whereas large, heavy Pine grains produce intense but localized concentrations near the source tree.</w:t>
      </w:r>
    </w:p>
    <w:p>
      <w:r>
        <w:rPr>
          <w:rFonts w:ascii="Arial" w:hAnsi="Arial"/>
          <w:b w:val="0"/>
          <w:i w:val="0"/>
          <w:sz w:val="22"/>
        </w:rPr>
      </w:r>
    </w:p>
    <w:p>
      <w:r>
        <w:drawing>
          <wp:inline xmlns:a="http://schemas.openxmlformats.org/drawingml/2006/main" xmlns:pic="http://schemas.openxmlformats.org/drawingml/2006/picture">
            <wp:extent cx="5486400" cy="3815340"/>
            <wp:docPr id="3" name="Picture 3"/>
            <wp:cNvGraphicFramePr>
              <a:graphicFrameLocks noChangeAspect="1"/>
            </wp:cNvGraphicFramePr>
            <a:graphic>
              <a:graphicData uri="http://schemas.openxmlformats.org/drawingml/2006/picture">
                <pic:pic>
                  <pic:nvPicPr>
                    <pic:cNvPr id="0" name="fig3_phenology.png"/>
                    <pic:cNvPicPr/>
                  </pic:nvPicPr>
                  <pic:blipFill>
                    <a:blip r:embed="rId11"/>
                    <a:stretch>
                      <a:fillRect/>
                    </a:stretch>
                  </pic:blipFill>
                  <pic:spPr>
                    <a:xfrm>
                      <a:off x="0" y="0"/>
                      <a:ext cx="5486400" cy="3815340"/>
                    </a:xfrm>
                    <a:prstGeom prst="rect"/>
                  </pic:spPr>
                </pic:pic>
              </a:graphicData>
            </a:graphic>
          </wp:inline>
        </w:drawing>
      </w:r>
    </w:p>
    <w:p>
      <w:r>
        <w:rPr>
          <w:rFonts w:ascii="Arial" w:hAnsi="Arial"/>
          <w:b w:val="0"/>
          <w:i w:val="0"/>
          <w:sz w:val="22"/>
        </w:rPr>
        <w:t>Figure 3. Phenological emission model. (a) Temporal gate functions Gamma_i(t) showing blooming intensity across the year for each species. (b) Effective allergenic emission Q_eff(t) = Q_base x W x Gamma(t). The dashed line marks June 25, when most tree species are dormant and only Pine retains weak late-season emission.</w:t>
      </w:r>
    </w:p>
    <w:p>
      <w:r>
        <w:rPr>
          <w:rFonts w:ascii="Arial" w:hAnsi="Arial"/>
          <w:b w:val="0"/>
          <w:i w:val="0"/>
          <w:sz w:val="22"/>
        </w:rPr>
      </w:r>
    </w:p>
    <w:p>
      <w:r>
        <w:drawing>
          <wp:inline xmlns:a="http://schemas.openxmlformats.org/drawingml/2006/main" xmlns:pic="http://schemas.openxmlformats.org/drawingml/2006/picture">
            <wp:extent cx="5486400" cy="1830556"/>
            <wp:docPr id="4" name="Picture 4"/>
            <wp:cNvGraphicFramePr>
              <a:graphicFrameLocks noChangeAspect="1"/>
            </wp:cNvGraphicFramePr>
            <a:graphic>
              <a:graphicData uri="http://schemas.openxmlformats.org/drawingml/2006/picture">
                <pic:pic>
                  <pic:nvPicPr>
                    <pic:cNvPr id="0" name="fig4_humidity.png"/>
                    <pic:cNvPicPr/>
                  </pic:nvPicPr>
                  <pic:blipFill>
                    <a:blip r:embed="rId12"/>
                    <a:stretch>
                      <a:fillRect/>
                    </a:stretch>
                  </pic:blipFill>
                  <pic:spPr>
                    <a:xfrm>
                      <a:off x="0" y="0"/>
                      <a:ext cx="5486400" cy="1830556"/>
                    </a:xfrm>
                    <a:prstGeom prst="rect"/>
                  </pic:spPr>
                </pic:pic>
              </a:graphicData>
            </a:graphic>
          </wp:inline>
        </w:drawing>
      </w:r>
    </w:p>
    <w:p>
      <w:r>
        <w:rPr>
          <w:rFonts w:ascii="Arial" w:hAnsi="Arial"/>
          <w:b w:val="0"/>
          <w:i w:val="0"/>
          <w:sz w:val="22"/>
        </w:rPr>
        <w:t>Figure 4. Proposed humidity coupling (future work; not part of the current model). (a) Emission suppression factor: pollen release drops sharply above 50% relative humidity. (b) Hygroscopic swelling increases grain diameter at high humidity. (c) Resulting increase in gravitational settling velocity.</w:t>
      </w:r>
    </w:p>
    <w:p>
      <w:r>
        <w:rPr>
          <w:rFonts w:ascii="Arial" w:hAnsi="Arial"/>
          <w:b w:val="0"/>
          <w:i w:val="0"/>
          <w:sz w:val="22"/>
        </w:rPr>
      </w:r>
    </w:p>
    <w:sectPr w:rsidR="00FC693F" w:rsidRPr="0006063C" w:rsidSect="00034616">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