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2"/>
        <w:ind w:left="0" w:right="0"/>
      </w:pPr>
    </w:p>
    <w:p>
      <w:pPr>
        <w:sectPr>
          <w:pgSz w:w="11906" w:h="16838"/>
          <w:pgMar w:top="672" w:right="1364" w:bottom="356" w:left="143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6150" cy="5321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53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672" w:right="1364" w:bottom="356" w:left="1438" w:header="720" w:footer="720" w:gutter="0"/>
          <w:cols w:num="2" w:equalWidth="0">
            <w:col w:w="4669" w:space="0"/>
            <w:col w:w="443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44"/>
        <w:ind w:left="1122" w:right="0" w:firstLine="75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Volume 5, No. 4 April, 2024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 ISSN 2723-6927-e ISSN 2723-4339 </w:t>
      </w:r>
    </w:p>
    <w:p>
      <w:pPr>
        <w:sectPr>
          <w:type w:val="nextColumn"/>
          <w:pgSz w:w="11906" w:h="16838"/>
          <w:pgMar w:top="672" w:right="1364" w:bottom="356" w:left="1438" w:header="720" w:footer="720" w:gutter="0"/>
          <w:cols w:num="2" w:equalWidth="0">
            <w:col w:w="4669" w:space="0"/>
            <w:col w:w="443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32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An 8-Years-Old Child With Post Streptococcal Related Acute Glomerulonephritis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Accompanied By Pleural Effusion: Case Report </w:t>
      </w:r>
    </w:p>
    <w:p>
      <w:pPr>
        <w:autoSpaceDN w:val="0"/>
        <w:autoSpaceDE w:val="0"/>
        <w:widowControl/>
        <w:spacing w:line="245" w:lineRule="auto" w:before="326" w:after="0"/>
        <w:ind w:left="1440" w:right="144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Yuan Agita Aprilia R</w:t>
      </w:r>
      <w:r>
        <w:rPr>
          <w:rFonts w:ascii="Calibri" w:hAnsi="Calibri" w:eastAsia="Calibri"/>
          <w:b/>
          <w:i w:val="0"/>
          <w:color w:val="000000"/>
          <w:sz w:val="16"/>
        </w:rPr>
        <w:t>1</w:t>
      </w:r>
      <w:r>
        <w:rPr>
          <w:rFonts w:ascii="Calibri" w:hAnsi="Calibri" w:eastAsia="Calibri"/>
          <w:b/>
          <w:i w:val="0"/>
          <w:color w:val="000000"/>
          <w:sz w:val="24"/>
        </w:rPr>
        <w:t>*, Adivia Cheries D</w:t>
      </w:r>
      <w:r>
        <w:rPr>
          <w:rFonts w:ascii="Calibri" w:hAnsi="Calibri" w:eastAsia="Calibri"/>
          <w:b/>
          <w:i w:val="0"/>
          <w:color w:val="000000"/>
          <w:sz w:val="16"/>
        </w:rPr>
        <w:t xml:space="preserve">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1.2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Faculty of Medicine Airlangga University, East Java, Indonesia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Email: yuanagitaar@gmail.com </w:t>
      </w:r>
    </w:p>
    <w:p>
      <w:pPr>
        <w:autoSpaceDN w:val="0"/>
        <w:autoSpaceDE w:val="0"/>
        <w:widowControl/>
        <w:spacing w:line="245" w:lineRule="auto" w:before="346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inflammatory process in the glomerulus caused after infection from group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nephritogenic type beta-hemolytic streptococcal bacteria is called acute post-infectious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streptococcal glomerulonephritis (GNAPS). Patients who exhibit symptoms such as gross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hematuria, puffiness, and hypertension, as well as acute renal failure after streptococcal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infection, should suspect post-streptococcal acute glomerulonephritis. Typical signs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glomerulonephritis in urinalysis, evidence of laboratory streptococcal infection (ASTO more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than 100 Todd), and low levels of C3 complement (less than 4 years or more than 15 years)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a history of disease with similar symptoms, accompanied by chronic renal failure, GFR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below 50% of normal age, macroscopic hematuria more than 3 months or microscopic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hematuria more than 1 year, C3 levels decrease over 3 months as well as refractory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proteinuria. Administration of antibiotics (Penicillin for 10 days) in the acute phase does not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affect the worsening of the condition of glomerulonephritis but rather reduces the spread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Streptococcal infections that may still exist. In addition, treatment of hypertension is also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necessary. Peritoneal measures of dialysis or hemodialysis may be considered in cases of acute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renal failure. </w:t>
      </w:r>
    </w:p>
    <w:p>
      <w:pPr>
        <w:autoSpaceDN w:val="0"/>
        <w:tabs>
          <w:tab w:pos="7484" w:val="left"/>
        </w:tabs>
        <w:autoSpaceDE w:val="0"/>
        <w:widowControl/>
        <w:spacing w:line="245" w:lineRule="auto" w:before="348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Keywords: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Acute Post-Infectious Glomerulonephritis Streptococcal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(GNAPS), Post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Streptococcal, Pleural Effusion, Case Report </w:t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346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Acute post-infectious streptococcal glomerulonephritis (GNAPS) is a condition that 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lead to acute renal failure, hypertension, and other complications. It is caused by group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nephritogenic type beta-hemolytic streptococcal bacteria, which trigger an inflammatory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process in the glomerulus. Symptoms of GNAPS include gross hematuria, puffiness,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hypertension, as well as acute renal failure after streptococcal infection. Typical signs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glomerulonephritis in urinalysis, evidence of laboratory streptococcal infection, and low levels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C3 complement are indicative of the condition (Duong &amp; Reidy, 2022). </w:t>
      </w:r>
    </w:p>
    <w:p>
      <w:pPr>
        <w:autoSpaceDN w:val="0"/>
        <w:autoSpaceDE w:val="0"/>
        <w:widowControl/>
        <w:spacing w:line="245" w:lineRule="auto" w:before="54" w:after="0"/>
        <w:ind w:left="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study, we present a case report of an 8-year-old child who experienced bilateral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pleural effusion and was diagnosed with GNAPS. The case report method was chosen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provide in-depth insights into the condition, and the data was sourced from the patient's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medical record and supported by a literature review. The patient's medical record included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clinical records, laboratory results, and radiological examination results related to cases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GNAPS and bilateral pleural effusion in the child. </w:t>
      </w:r>
    </w:p>
    <w:p>
      <w:pPr>
        <w:autoSpaceDN w:val="0"/>
        <w:autoSpaceDE w:val="0"/>
        <w:widowControl/>
        <w:spacing w:line="245" w:lineRule="auto" w:before="52" w:after="0"/>
        <w:ind w:left="2" w:right="2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case presented, the patient experienced swelling throughout their body, reduced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urine output, and reddish urine. They also complained of headaches and shortness of breath.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patient's history revealed that they had a fever, cough, and runny nose about a week </w:t>
      </w:r>
    </w:p>
    <w:p>
      <w:pPr>
        <w:autoSpaceDN w:val="0"/>
        <w:tabs>
          <w:tab w:pos="8696" w:val="left"/>
        </w:tabs>
        <w:autoSpaceDE w:val="0"/>
        <w:widowControl/>
        <w:spacing w:line="197" w:lineRule="auto" w:before="75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226 </w:t>
      </w:r>
    </w:p>
    <w:p>
      <w:pPr>
        <w:sectPr>
          <w:type w:val="continuous"/>
          <w:pgSz w:w="11906" w:h="16838"/>
          <w:pgMar w:top="672" w:right="1364" w:bottom="356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Yuan Agita Aprilia R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*, Adivia Cheries D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245" w:lineRule="auto" w:before="49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before the swelling appeared. High blood pressure, positive undulations test, pitting oedema,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bilateral pleural effusion were also observed. </w:t>
      </w:r>
    </w:p>
    <w:p>
      <w:pPr>
        <w:autoSpaceDN w:val="0"/>
        <w:autoSpaceDE w:val="0"/>
        <w:widowControl/>
        <w:spacing w:line="245" w:lineRule="auto" w:before="52" w:after="0"/>
        <w:ind w:left="2" w:right="2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Treatment for GNAPS typically involves diuretics, calcium channel blockers,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symptomatic therapy. In cases of acute renal failure, peritoneal measures of dialysis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hemodialysis may be considered. The administration of antibiotics in the acute phase does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not affect the worsening of the condition of glomerulonephritis but rather reduces the spread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Streptococcal infections that may still exist (Satoskar, Parikh, &amp; Nadasdy, 2020). </w:t>
      </w:r>
    </w:p>
    <w:p>
      <w:pPr>
        <w:autoSpaceDN w:val="0"/>
        <w:autoSpaceDE w:val="0"/>
        <w:widowControl/>
        <w:spacing w:line="245" w:lineRule="auto" w:before="52" w:after="0"/>
        <w:ind w:left="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conclusion, acute post-infectious streptococcal glomerulonephritis is a serious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condition that can lead to acute renal failure and other complications. Early diagnosis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appropriate treatment are crucial for managing the condition effectively (Mosquera-Sulbaran,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Pedreañez, Vargas, &amp; Hernandez-Fonseca, 2023). This case report provides valuable insights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into the presentation, diagnosis, and management of GNAPS in the pediatric population.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346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RESEARCH METHODS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adopted the case report method conducted on an 8-year-old child with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diagnosis of acute post-infectious streptococcal glomerulonephritis (GNAPS) and experienced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bilateral pleural effusion. The case report method was chosen to focus on in-depth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investigations into specific cases that can provide valuable insights into understanding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condition. The object of this study was an 8-year-old child with GNAPS and bilateral pleural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effusion. </w:t>
      </w:r>
    </w:p>
    <w:p>
      <w:pPr>
        <w:autoSpaceDN w:val="0"/>
        <w:autoSpaceDE w:val="0"/>
        <w:widowControl/>
        <w:spacing w:line="245" w:lineRule="auto" w:before="54" w:after="0"/>
        <w:ind w:left="2" w:right="22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source of this study data involved the patient's medical record, including clinical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records, laboratory results, and radiological examination results related to cases of GNAPS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bilateral pleural effusion in the child. In addition, to support the analysis, a literature review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was also conducted using the PubMed database to gain broader insight into GNAPS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pediatric population. </w:t>
      </w:r>
    </w:p>
    <w:p>
      <w:pPr>
        <w:autoSpaceDN w:val="0"/>
        <w:autoSpaceDE w:val="0"/>
        <w:widowControl/>
        <w:spacing w:line="245" w:lineRule="auto" w:before="52" w:after="0"/>
        <w:ind w:left="2" w:right="24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population that was the focus of this study was children with GNAPS, while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sample studied was a specific case of an 8-year-old child with GNAPS and bilateral pleural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effusion. Research techniques and tools include collecting medical data from patient medical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records, including physical examination, laboratory results, and radiological results. Data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analysis techniques involve in-depth evaluation of the patient's clinical and laboratory data,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well as benchmarking with findings from literature reviews that have been conducted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present comprehensive information about the case. </w:t>
      </w:r>
    </w:p>
    <w:p>
      <w:pPr>
        <w:autoSpaceDN w:val="0"/>
        <w:autoSpaceDE w:val="0"/>
        <w:widowControl/>
        <w:spacing w:line="245" w:lineRule="auto" w:before="54" w:after="0"/>
        <w:ind w:left="2" w:right="24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Thus, this study not only describes a specific case of GNAPS with bilateral pleural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effusion in an 8-year-old child but also provides a supportive literature review to enrich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understanding of the case in the context of the pediatric population.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348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AND DISCUSSION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study, it was found that patients experienced swelling throughout their bodies,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namely the face, both hands and feet, including the testicles. In addition, the patient's urine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also reduced (oliguria) and becomes reddish (hematuria). Patients also complain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headaches and shortness of breath. From previous history, it is known that patients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fever, cough, and runny nose about a week before swelling appears. In addition,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high blood pressure of 150/110 mmHG (hypertension), positive undulations test, pitting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oedema in the periorbita, both legs and scrotum. As well as obtained x-ray results of bilateral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pleural effusion thorax, laboratory results of BUN (91) and ASTO (159.26) increased, but GFR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(75) and C3c (43.3) decreased, and urinalysis results obtained erythrocytes +2 on the dipstick </w:t>
      </w:r>
    </w:p>
    <w:p>
      <w:pPr>
        <w:autoSpaceDN w:val="0"/>
        <w:tabs>
          <w:tab w:pos="8696" w:val="left"/>
        </w:tabs>
        <w:autoSpaceDE w:val="0"/>
        <w:widowControl/>
        <w:spacing w:line="197" w:lineRule="auto" w:before="7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227 </w:t>
      </w:r>
    </w:p>
    <w:p>
      <w:pPr>
        <w:sectPr>
          <w:pgSz w:w="11906" w:h="16838"/>
          <w:pgMar w:top="368" w:right="1364" w:bottom="502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tabs>
          <w:tab w:pos="6466" w:val="left"/>
        </w:tabs>
        <w:autoSpaceDE w:val="0"/>
        <w:widowControl/>
        <w:spacing w:line="245" w:lineRule="auto" w:before="0" w:after="0"/>
        <w:ind w:left="4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 8-Years-Old Child With Post Streptococcal Related Acute Glomerulonephritis Accompanied By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Pleural Effusion: Case Report</w:t>
      </w:r>
    </w:p>
    <w:p>
      <w:pPr>
        <w:autoSpaceDN w:val="0"/>
        <w:autoSpaceDE w:val="0"/>
        <w:widowControl/>
        <w:spacing w:line="245" w:lineRule="auto" w:before="248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1-3 / LP in sediment. Treatment consists of diuretics and calcium channel blockers,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followed by symptomatic therapy and diet management.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Case Report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Identity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a.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An. ASP, 8 years old, Male, Lamongan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b.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Mr. S, 48 years old, Private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c.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Mrs. S, 46 years old, Housewife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Anamnesis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Main Complaint: Swelling all over the body for one week before being taken to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hospital. </w:t>
      </w:r>
    </w:p>
    <w:p>
      <w:pPr>
        <w:autoSpaceDN w:val="0"/>
        <w:autoSpaceDE w:val="0"/>
        <w:widowControl/>
        <w:spacing w:line="245" w:lineRule="auto" w:before="52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patient is a referral from a type C hospital in one of the districts in East Java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Province. The patient had swelling all over the body for one week before being taken to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hospital. Initially, the patient only experienced swelling of the eyes, especially in the morning,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slightly deflated during the day. By the time he arrived at the emergency department,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was swelling all over the face, both hands and feet and the patient's testicles. Patients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also complain of shortness of breath at the beginning of the appearance of swelling, which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felt increasingly aggravated so that the patient is more comfortable in a half-sitting position.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About a week before the swelling occurred, the patient developed a fever accompanied by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cough and runny nose but recovered after 5 days of taking antibiotics. When there begins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 swelling, the patient's urine becomes slight and reddish. In addition, patients also often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complain of headaches. A previous history of shortness of breath was denied. A history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shortness of breath during activity is also denied. There is no history of morning sneezing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yellow eyes. There are no complaints of difficult farting or defecation. </w:t>
      </w:r>
    </w:p>
    <w:p>
      <w:pPr>
        <w:autoSpaceDN w:val="0"/>
        <w:autoSpaceDE w:val="0"/>
        <w:widowControl/>
        <w:spacing w:line="245" w:lineRule="auto" w:before="52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have received prednisone tablets at a dose of 2 mg (5-5-4), NSAID type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mefenamic acid 3x1 tablets, furosemide half tablets 24 hours, and captopril 3x12.5 mg, but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has been no improvement after treatment for 7 days. </w:t>
      </w:r>
    </w:p>
    <w:p>
      <w:pPr>
        <w:autoSpaceDN w:val="0"/>
        <w:autoSpaceDE w:val="0"/>
        <w:widowControl/>
        <w:spacing w:line="245" w:lineRule="auto" w:before="52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patient was born normally, full-term, assisted by a midwife with a birth weight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3800 grams, crying immediately, not blue and not yellow. At the time of pregnancy,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patient's mother routinely controls the village midwife and does not experience any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complaints. Patients have the same history of growth and development as their peers.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can prop their heads at 3 months of age, lie on their stomachs at 6 months of age, sit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 9 months of age, stand at 12 months of age and walk at 16 months of age. Patients can play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stacking cubes or play ball at 23 months of age. Patients can talk at the age of 2 years,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until now patients are known to communicate well in the environment around home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school. In infancy, patients do not get breast milk intake, so patients get nutrition from formula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milk alone from the age of 0 months to 2 years with sufficient frequency and amount. Patients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begin to get MP-ASI at the age of 6 months with a balanced type and amount. Patients from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age of 1 year begin to eat a balanced adult diet and have no history of allergy to chicken,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eggs, or fish. </w:t>
      </w:r>
    </w:p>
    <w:p>
      <w:pPr>
        <w:autoSpaceDN w:val="0"/>
        <w:autoSpaceDE w:val="0"/>
        <w:widowControl/>
        <w:spacing w:line="245" w:lineRule="auto" w:before="52" w:after="0"/>
        <w:ind w:left="2" w:right="22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patient has no history of allergies to food, dust, smoke, or drugs. The patient also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had no history of congenital heart disease. From birth to the present, the patient has never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been hospitalized, nor has he had a history of previous surgery. The patient's previous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immunization history can also be said to be complete, namely BCG and measles immunization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once and DPT, Hepatitis B, and polio immunization 3 times. In the patient's family, no one has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same history of illness as the patient is currently experiencing. However, the patient's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grandmother had a history of heart disease. </w:t>
      </w:r>
    </w:p>
    <w:p>
      <w:pPr>
        <w:autoSpaceDN w:val="0"/>
        <w:tabs>
          <w:tab w:pos="8696" w:val="left"/>
        </w:tabs>
        <w:autoSpaceDE w:val="0"/>
        <w:widowControl/>
        <w:spacing w:line="197" w:lineRule="auto" w:before="9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rPr>
          <w:rFonts w:ascii="Calibri" w:hAnsi="Calibri" w:eastAsia="Calibri"/>
          <w:b w:val="0"/>
          <w:i w:val="0"/>
          <w:color w:val="000000"/>
          <w:sz w:val="22"/>
        </w:rPr>
        <w:t>228</w:t>
      </w:r>
    </w:p>
    <w:p>
      <w:pPr>
        <w:sectPr>
          <w:pgSz w:w="11906" w:h="16838"/>
          <w:pgMar w:top="376" w:right="1364" w:bottom="356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Yuan Agita Aprilia R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*, Adivia Cheries D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245" w:lineRule="auto" w:before="492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patient is currently in elementary school. The patient lives at home with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patient's father, mother, grandmother, and brother with adequate ventilation conditions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uses well water for daily purposes. </w:t>
      </w:r>
    </w:p>
    <w:p>
      <w:pPr>
        <w:autoSpaceDN w:val="0"/>
        <w:tabs>
          <w:tab w:pos="710" w:val="left"/>
          <w:tab w:pos="1136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Physical Examination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a.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Examination: General condition is good, composed of consciousness,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Moderate pain, and Normal speech voice. </w:t>
      </w:r>
    </w:p>
    <w:p>
      <w:pPr>
        <w:autoSpaceDN w:val="0"/>
        <w:tabs>
          <w:tab w:pos="1136" w:val="left"/>
        </w:tabs>
        <w:autoSpaceDE w:val="0"/>
        <w:widowControl/>
        <w:spacing w:line="245" w:lineRule="auto" w:before="54" w:after="0"/>
        <w:ind w:left="71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b.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Pemeriksaan anthropometers: BB 36 kg, TB 123 cm, BB/U 138 %, TB/U 97,6 %,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BB/TB 90,2 %, LL 17 cm, LK 51 cm, BMI 24,8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Vital Signs: TD 150/110 mmHg, HR 92 bpm, regular lifting strength, RR 30x/min,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 dyspnea or tachypnea is obtained. Axillary temperature 36.5 </w:t>
      </w:r>
      <w:r>
        <w:rPr>
          <w:rFonts w:ascii="Calibri" w:hAnsi="Calibri" w:eastAsia="Calibri"/>
          <w:b w:val="0"/>
          <w:i w:val="0"/>
          <w:color w:val="000000"/>
          <w:sz w:val="16"/>
        </w:rPr>
        <w:t>oC.</w:t>
      </w:r>
    </w:p>
    <w:p>
      <w:pPr>
        <w:autoSpaceDN w:val="0"/>
        <w:autoSpaceDE w:val="0"/>
        <w:widowControl/>
        <w:spacing w:line="245" w:lineRule="auto" w:before="52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Pain complaints were obtained with a value of 2 using the Wong-Baker face scale.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skin examination, no hypopigmentation, hyperpigmentation, petechiae, or purpura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abnormalities; skin tone, and turgor were also within normal limits. On examination, the hair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also within normal limits. On examination of the nails, no koilonychia or paronychia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obtained. </w:t>
      </w:r>
    </w:p>
    <w:p>
      <w:pPr>
        <w:autoSpaceDN w:val="0"/>
        <w:autoSpaceDE w:val="0"/>
        <w:widowControl/>
        <w:spacing w:line="245" w:lineRule="auto" w:before="54" w:after="0"/>
        <w:ind w:left="2" w:right="0" w:firstLine="70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general examination of the head, periorbital oedema is obtained. There are no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leonine facies, mongolism, full-moon face, or anything else. Conjunctiva within normal limits,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 anonym, hyperemia, or bleeding is obtained. In the sclera, there is no icteric, hyperemia,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bleeding. On examination of the pupils, the results of round pupils of the isochorus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diameter of 3 mm symmetrical were obtained. On examination of the cornea, no infiltration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>or erosion was obtained. The lens is within normal limits, and no cataracts are obtained. In-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ear examination, the shape and ear holes are within normal limits, and no tofi and secret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obtained. At the touch of the process mastoids, there is no pain. On examination of the nose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paranasal sinuses within normal limits, no blockage, secret, odour, deviation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septum, or bleeding was obtained. On examination of the lips there were no pigmentation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abnormalities, cyanosis, oedema, or cheilosis on examination the mucosa was within normal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limits, not pale, with hyperemia, or abpigmentation. On examination of the tongue, no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microglossia, macroglossia, papi atrophy, papyl hypertrophy or geographic tongue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obtained. On examination of the pharynx, no beslag and hyperemia were obtained.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examination of the tonsils also found no hypertrophy, detritus and beslag. On examination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palate within normal limits, there is no detritus.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examination of the neck within normal limits, no enlargement of the lymph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glands, deviation of the trachea and enlargement of the thyroid was obtained.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54" w:after="0"/>
        <w:ind w:left="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examination of the thorax within normal limits, no tumours, kyphosis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scoliosis were obtained, and no enlargement of the axillary lymph glands was obtained. </w:t>
      </w:r>
    </w:p>
    <w:p>
      <w:pPr>
        <w:autoSpaceDN w:val="0"/>
        <w:autoSpaceDE w:val="0"/>
        <w:widowControl/>
        <w:spacing w:line="245" w:lineRule="auto" w:before="52" w:after="0"/>
        <w:ind w:left="2" w:right="22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lung examination, vesicular auscultation decreased, percussion dimmed, palpable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frequency decreased and positive vocal fremitus in 1/3 inferior lung dextra and sinistra.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inspection, the chest shape is symmetrical, and no abnormalities of chest wall movement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retraction are obtained. In auscultation, there are no additional breathing sounds in the form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Ronchi, wheezing, amphoric and pleural friction sounds. </w:t>
      </w:r>
    </w:p>
    <w:p>
      <w:pPr>
        <w:autoSpaceDN w:val="0"/>
        <w:autoSpaceDE w:val="0"/>
        <w:widowControl/>
        <w:spacing w:line="245" w:lineRule="auto" w:before="54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examination of the heart within normal limits. The Ictus cordis is invisible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not palpable. Heart pulsation is also not palpable. In exclamations within normal limits,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single S1/S2 is not obtained, S3 and S4 are obtained. There is no systolic ejection click, opening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snap, friction noise and heart noise. </w:t>
      </w:r>
    </w:p>
    <w:p>
      <w:pPr>
        <w:autoSpaceDN w:val="0"/>
        <w:autoSpaceDE w:val="0"/>
        <w:widowControl/>
        <w:spacing w:line="245" w:lineRule="auto" w:before="52" w:after="0"/>
        <w:ind w:left="2" w:right="26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general examination of the abdomen found that the abdomen appeared bulging,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dim percussion and a positive undulations test on palpation. No abnormalities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abdominal skin (shiny, dry, atrophic). In auscultation, intestinal noise is obtained within normal </w:t>
      </w:r>
    </w:p>
    <w:p>
      <w:pPr>
        <w:autoSpaceDN w:val="0"/>
        <w:tabs>
          <w:tab w:pos="8696" w:val="left"/>
        </w:tabs>
        <w:autoSpaceDE w:val="0"/>
        <w:widowControl/>
        <w:spacing w:line="197" w:lineRule="auto" w:before="40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229 </w:t>
      </w:r>
    </w:p>
    <w:p>
      <w:pPr>
        <w:sectPr>
          <w:pgSz w:w="11906" w:h="16838"/>
          <w:pgMar w:top="368" w:right="1364" w:bottom="502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tabs>
          <w:tab w:pos="6466" w:val="left"/>
        </w:tabs>
        <w:autoSpaceDE w:val="0"/>
        <w:widowControl/>
        <w:spacing w:line="245" w:lineRule="auto" w:before="0" w:after="0"/>
        <w:ind w:left="4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 8-Years-Old Child With Post Streptococcal Related Acute Glomerulonephritis Accompanied By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Pleural Effusion: Case Report</w:t>
      </w:r>
    </w:p>
    <w:p>
      <w:pPr>
        <w:autoSpaceDN w:val="0"/>
        <w:autoSpaceDE w:val="0"/>
        <w:widowControl/>
        <w:spacing w:line="245" w:lineRule="auto" w:before="248" w:after="0"/>
        <w:ind w:left="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limits. Turgor and tone examination was within normal limits and no local or complete pain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was found, there were no signs of peritonitis, peritoneal irritation or rebound tenderness.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Hepar, lien and kidney are not palpable during the examination. No Murphy's Sign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Courvoisier's Sign. </w:t>
      </w:r>
    </w:p>
    <w:p>
      <w:pPr>
        <w:autoSpaceDN w:val="0"/>
        <w:autoSpaceDE w:val="0"/>
        <w:widowControl/>
        <w:spacing w:line="245" w:lineRule="auto" w:before="54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general examination of the inguinal, genitalia and anus found a bilateral hydrocele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the scrotum. There were no inguinal, scrotal or femoral hernias and no enlargement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inguinal and femoral lymph nodes. On examination of the penis and anus found no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abnormalities. </w:t>
      </w:r>
    </w:p>
    <w:p>
      <w:pPr>
        <w:autoSpaceDN w:val="0"/>
        <w:autoSpaceDE w:val="0"/>
        <w:widowControl/>
        <w:spacing w:line="245" w:lineRule="auto" w:before="56" w:after="0"/>
        <w:ind w:left="2" w:right="22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general examination of the upper extremities within normal limits, no swelling,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deformity, or signs of inflammation in the joints, no atrophy in the muscles, no clubbing finger,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no physiological reflexes of the biceps and triceps within normal limits. </w:t>
      </w:r>
    </w:p>
    <w:p>
      <w:pPr>
        <w:autoSpaceDN w:val="0"/>
        <w:autoSpaceDE w:val="0"/>
        <w:widowControl/>
        <w:spacing w:line="245" w:lineRule="auto" w:before="54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general examination of the lower extremities, bilateral pitting oedema was found.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is no paresis, myopathy, atrophy or neuropathy. Pulsation of the femoral artery within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normal limits. Joints within normal limits, no swelling, deformity and signs of inflammation.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 pathological reflexes (Babinski, kernig, laseg, etc.). There are no injuries in the form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cellulitis or gangrene.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general examination of the spine found no abnormalities in the form of kyphosis,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scoliosis or gibus.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54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Supporting Examination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Extinguishing laboratory Hb 11.4; Leukosit 36270; LED 25-32; HCT 34,2; Thrombosity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347,000; BUN 91; SK 0.9; GFR 75; Albumin 3.1; Cholesterol 258; ASTO 159,26; C3c 43.3; C4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14.22.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56" w:after="0"/>
        <w:ind w:left="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Extract urine dipstick BJ 1.015; Erythrocyte +2; Bilirubin-; Ketone -, Leukocyte -; Nitrite-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; pH 5; Protein-; Reduksi -; Urobilin -.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Hasil sedimen urin leukosit 0-1/LP; Eritrosite 1-3/LP; Epithelium 0-1/LP; Kristal-. </w:t>
      </w:r>
    </w:p>
    <w:p>
      <w:pPr>
        <w:autoSpaceDN w:val="0"/>
        <w:autoSpaceDE w:val="0"/>
        <w:widowControl/>
        <w:spacing w:line="197" w:lineRule="auto" w:before="52" w:after="0"/>
        <w:ind w:left="71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x-ray reading of the thorax obtained pleural effusion in both lung fields.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Analysis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history obtained data the patient experienced swelling throughout his body,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namely the face, both hands and feet including the testicles. In addition, the patient's urine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also reduced (oliguria) and becomes reddish (hematuria). Patients also complain of headaches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shortness of breath. From previous history, it is known that patients experience fever,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cough and runny nose about a week before swelling appears. </w:t>
      </w:r>
    </w:p>
    <w:p>
      <w:pPr>
        <w:autoSpaceDN w:val="0"/>
        <w:autoSpaceDE w:val="0"/>
        <w:widowControl/>
        <w:spacing w:line="245" w:lineRule="auto" w:before="54" w:after="0"/>
        <w:ind w:left="2" w:right="26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results of physical examination while in the emergency department, high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 blood pressure of 150/110 mmHG (hypertension) was obtained, positive undulations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test, pitting oedema in the periorbital and both legs and oedema obtained in the scrotum. </w:t>
      </w:r>
    </w:p>
    <w:p>
      <w:pPr>
        <w:autoSpaceDN w:val="0"/>
        <w:autoSpaceDE w:val="0"/>
        <w:widowControl/>
        <w:spacing w:line="245" w:lineRule="auto" w:before="52" w:after="0"/>
        <w:ind w:left="2" w:right="24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results of supporting examinations, bilateral pleural effusion thoracic xray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readings were obtained, laboratory results of BUN (91) and ASTO (159.26) increased but GFR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(75) and C3c (43.3) decreased, and urinalysis results found erythrocytes +2 on the dipstick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1-3 / LP in sediment.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Until the conclusion of the diagnosis leads to acute glomerulonephritis accompanied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bilateral pleural effusion.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Tatalaksana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 the time of treatment, patients receive diuretic therapy and calcium channel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blockers. Patients received furosemide therapy at a dose of 30 mg every 8 hours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amlodipine at a dose of 10 mg every 24 hours. In addition, patients are also given a low-salt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diet, a maximum of 2 grams per day for a total of 1700 kcal. To determine the success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therapy, patients are monitored on vital signs, signs of worsening conditions, weight, and </w:t>
      </w:r>
    </w:p>
    <w:p>
      <w:pPr>
        <w:autoSpaceDN w:val="0"/>
        <w:tabs>
          <w:tab w:pos="8696" w:val="left"/>
        </w:tabs>
        <w:autoSpaceDE w:val="0"/>
        <w:widowControl/>
        <w:spacing w:line="197" w:lineRule="auto" w:before="70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rPr>
          <w:rFonts w:ascii="Calibri" w:hAnsi="Calibri" w:eastAsia="Calibri"/>
          <w:b w:val="0"/>
          <w:i w:val="0"/>
          <w:color w:val="000000"/>
          <w:sz w:val="22"/>
        </w:rPr>
        <w:t>230</w:t>
      </w:r>
    </w:p>
    <w:p>
      <w:pPr>
        <w:sectPr>
          <w:pgSz w:w="11906" w:h="16838"/>
          <w:pgMar w:top="376" w:right="1364" w:bottom="356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Yuan Agita Aprilia R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*, Adivia Cheries D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245" w:lineRule="auto" w:before="492" w:after="0"/>
        <w:ind w:left="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support. On day 5 of treatment, the patient had no complaints of fever, cough, runny nose,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tightness, and headache, but still found swelling in both legs and scrotum, which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decreasing.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Discussion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inflammatory process in the glomerulus caused by certain bacterial or viral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infections is known as acute glomerulonephritis (GNA), and if it occurs after infection from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group A nephritogenic beta-hemolytic streptococcal bacteria is called acute post-infectious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streptococcal glomerulonephritis (GNAPS). The incidence of GNAPS is also influenced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climate, nutrition, general state, and history of allergies ((Duong &amp; Reidy, 2022); (Mosquera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Pedreañez, 2021); (Moorani, Aziz, &amp; Amanullah, 2022)). </w:t>
      </w:r>
    </w:p>
    <w:p>
      <w:pPr>
        <w:autoSpaceDN w:val="0"/>
        <w:autoSpaceDE w:val="0"/>
        <w:widowControl/>
        <w:spacing w:line="245" w:lineRule="auto" w:before="52" w:after="0"/>
        <w:ind w:left="2" w:right="22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Although streptococcal bacteria do not damage the kidneys directly, GNAPS produce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antigen-antibody complexes that circulate to the glomerulus, where they are mechanically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trapped in the basement membrane ((Mosquera &amp; Pedreañez, 2021); (Sumarno &amp; Tjiang,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2022); (Duong &amp; Reidy, 2022)). Complement will fixate, causing injury and inflammation, then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polymorphonuclear leukocytes (PMN) and platelets will be attracted to the injured area.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endothelium and glomerular basement membrane (IGBM) are also damaged by phagocytosis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the release of lysosomal enzymes, and the proliferation of endothelial, mesangium,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epithelial cells appear in response to damage. </w:t>
      </w:r>
    </w:p>
    <w:p>
      <w:pPr>
        <w:autoSpaceDN w:val="0"/>
        <w:autoSpaceDE w:val="0"/>
        <w:widowControl/>
        <w:spacing w:line="245" w:lineRule="auto" w:before="54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Increased leakage of glomerulus capillaries allows proteins and erythrocytes to enter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urine, causing proteinuria and hematuria. On microscopic examination, the glomerulus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appears swollen and hypercellular with PMN invasion, and antigen-antibody complement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complexes appear as subepithelial nodules as granular and lumpy ((Ge et al., 2020);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(Glomerulopathy, Glomerulopathy, &amp; Glomerulopathy, 2023); (Mosquera-Sulbaran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2023)). GNAPS occurs due to type III hypersensitivity reactions. In this reaction, the immune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complex attacks the streptococcal nephritogenic antigens that settle in the basement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membrane of the glomerulus and involve activation of complement. </w:t>
      </w:r>
    </w:p>
    <w:p>
      <w:pPr>
        <w:autoSpaceDN w:val="0"/>
        <w:autoSpaceDE w:val="0"/>
        <w:widowControl/>
        <w:spacing w:line="245" w:lineRule="auto" w:before="52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Complement activation mainly occurs through alternative pathways, but activation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classical pathway also occurs due to the binding of immunoglobulin proteins on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surface of streptococci. ((Syed, Viazmina, Mager, Meri, &amp; Haapasalo, 2020); (Zhang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2023)). Blood pressure in glomerular capillaries is almost four times higher than in other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capillaries, causing deposits in the immune complex. Deposits are also more abundant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branching areas, where blood flow turbulence occurs ((Sethi, De Vriese, &amp; Fervenza, 2022);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(Köppl &amp; Helmig, n.d.)). </w:t>
      </w:r>
    </w:p>
    <w:p>
      <w:pPr>
        <w:autoSpaceDN w:val="0"/>
        <w:autoSpaceDE w:val="0"/>
        <w:widowControl/>
        <w:spacing w:line="245" w:lineRule="auto" w:before="54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nature of antigens in the immune complex and antigens against their antibodies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associated with the nature of certain tissues. Cationic antigens will attach to anionic areas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basal membrane, usually in the subepithelial. IgM and IgG immune complexes more often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settle in the glomerulus as they flow through the glomerulus, larger immune complexes will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collect between the endothelium and the basement membrane, and smaller immune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complexes will penetrate the basement membrane and attach to epithelial cells ((Matsumoto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 al., 2022)). The cell-mediated mechanism also plays a role in the formation of GNAPS.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Glomerular infiltration by lymphocyte cells and macrophages has long been known to play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role in the cause of GNAPS. Lymphocyte intercellular spring molecules such as ICAM-I and LFA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found in the glomerulus and tubulointerstitial and are associated with infiltration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inflammation rates ((Sumarno &amp; Tjiang, 2022)). </w:t>
      </w:r>
    </w:p>
    <w:p>
      <w:pPr>
        <w:autoSpaceDN w:val="0"/>
        <w:autoSpaceDE w:val="0"/>
        <w:widowControl/>
        <w:spacing w:line="245" w:lineRule="auto" w:before="52" w:after="0"/>
        <w:ind w:left="2" w:right="24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GNAPS has varying clinical characteristics. Children usually show mild symptoms, but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it is not uncommon for them to show severe symptoms. As mentioned earlier, damage to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walls of glomerulus capillaries leads to flesh-red albuminuria and hematuria. Urine may be </w:t>
      </w:r>
    </w:p>
    <w:p>
      <w:pPr>
        <w:autoSpaceDN w:val="0"/>
        <w:tabs>
          <w:tab w:pos="8696" w:val="left"/>
        </w:tabs>
        <w:autoSpaceDE w:val="0"/>
        <w:widowControl/>
        <w:spacing w:line="197" w:lineRule="auto" w:before="40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231 </w:t>
      </w:r>
    </w:p>
    <w:p>
      <w:pPr>
        <w:sectPr>
          <w:pgSz w:w="11906" w:h="16838"/>
          <w:pgMar w:top="368" w:right="1364" w:bottom="502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tabs>
          <w:tab w:pos="6466" w:val="left"/>
        </w:tabs>
        <w:autoSpaceDE w:val="0"/>
        <w:widowControl/>
        <w:spacing w:line="245" w:lineRule="auto" w:before="0" w:after="0"/>
        <w:ind w:left="4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 8-Years-Old Child With Post Streptococcal Related Acute Glomerulonephritis Accompanied By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Pleural Effusion: Case Report</w:t>
      </w:r>
    </w:p>
    <w:p>
      <w:pPr>
        <w:autoSpaceDN w:val="0"/>
        <w:autoSpaceDE w:val="0"/>
        <w:widowControl/>
        <w:spacing w:line="245" w:lineRule="auto" w:before="248" w:after="0"/>
        <w:ind w:left="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reddish or coffee-coloured and is sometimes accompanied by mild oedema around the eyes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up to the entire body. Oliguria and heart failure usually cause severe oedema. A decreased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glomerular filtration rate (GFR) is the cause of oedema, which causes reduced excretion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water, sodium, and nitrogen, causing oedema and azotemia. Increased aldosterone can also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affect water and sodium retention ((Colvin, Chang, &amp; Cornell, 2023); (Bertschi, 2020); (Mattoo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&amp; Sanjad, 2022)). An increase in the hormone aldosterone can affect sodium and water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retention. Although oedema is most common in the lower limbs by noon, oedema of the face,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especially the periorbita, often occurs in the morning ((Lombel, Brakeman, Sack, &amp; Butani,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2022)). On the first day of GNA, 60-70% of children develop hypertension, but by the end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first week, it returns to normal ((Mosquera-Sulbaran et al., 2023)). Blood pressure will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remain high for several weeks and become permanent if kidney tissue damage persists.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first day, the body temperature may be rather high. When there are no other symptoms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infection before, sometimes heat symptoms are still present. People with GNA often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gastrointestinal symptoms such as vomiting, no appetite, constipation,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diarrhoea ((Rajindrajith, Devanarayana, Chanpong, &amp; Thapar, 2020); (Mosquera-Sulbaran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al., 2023)). </w:t>
      </w:r>
    </w:p>
    <w:p>
      <w:pPr>
        <w:autoSpaceDN w:val="0"/>
        <w:autoSpaceDE w:val="0"/>
        <w:widowControl/>
        <w:spacing w:line="245" w:lineRule="auto" w:before="52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Urinalysis showed that almost 50% of patients had macroscopic hematuria, proteinuria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(+1 to +4), urinary sediment abnormalities with dysphoric erythrocytes and leukocyturia,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well as luletal thoracic, granular, erythrocytes (++), albumin (+), and leukocyte cylinders (++),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among others. Signs of kidney failure such as hyperkalemia, acidosis, hyperphosphatemia,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hypocalcemia sometimes make serum ureal and creatinine levels rise. Sometimes,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symptoms of nephrotic syndrome are accompanied by high proteinuria. During the first week,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almost all patients showed low levels of total serum hemolytic complement (total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complement hemolytic) and C3; however, the average C4 is low or drops only slightly, and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50% of patients, properdin levels fall. </w:t>
      </w:r>
    </w:p>
    <w:p>
      <w:pPr>
        <w:autoSpaceDN w:val="0"/>
        <w:autoSpaceDE w:val="0"/>
        <w:widowControl/>
        <w:spacing w:line="245" w:lineRule="auto" w:before="52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situation, an alternate path of the compound is enabled. In patients with acute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post-streptococcal glomerulonephritis, the decrease in C3 is very pronounced, with levels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between 20 and 40 mg/dl (normal values are 50 to 140 mg/dl). Increased C3 is not associated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disease severity or cure. Within six to eight weeks, complement levels will return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normal levels, but only for diagnosis of GNAPS ((Newcomer et al., 2021); (Duong &amp; Reidy,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2022); (Mosquera &amp; Pedreañez, 2021); (Moorani et al., 2022); (Sumarno &amp; Tjiang, 2022)).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addition to antistreptozyme, ASTO, anti-hyaluronidase, and anti-Dnase B, several serological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tests of streptococcal antigens can be used to determine the presence of infection. </w:t>
      </w:r>
    </w:p>
    <w:p>
      <w:pPr>
        <w:autoSpaceDN w:val="0"/>
        <w:autoSpaceDE w:val="0"/>
        <w:widowControl/>
        <w:spacing w:line="245" w:lineRule="auto" w:before="54" w:after="0"/>
        <w:ind w:left="2" w:right="0" w:firstLine="70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Antistreptolysin screening is helpful because it can measure antibodies against various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streptococcal antigens. Although some streptococcal strains do not produce streptolysin O, </w:t>
      </w:r>
      <w:r>
        <w:rPr>
          <w:rFonts w:ascii="Calibri" w:hAnsi="Calibri" w:eastAsia="Calibri"/>
          <w:b w:val="0"/>
          <w:i w:val="0"/>
          <w:color w:val="000000"/>
          <w:sz w:val="24"/>
        </w:rPr>
        <w:t>serum should be tested against more than one streptococcal antigen. However, anti-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streptolysin O titers may be elevated in 75–80% of patients with GNAPS with pharyngitis.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More than 90 per cent of cases show streptococcal infection after performing all serological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tests. Although ASTO titers increase in only 50% of cases, antibodies to streptococcal antigens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usually positive due to anti-hyaluronidase or other antibodies. The titer test should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done serially because, at the beginning of the disease, the titer of streptococcal antibodies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has not increased. If the titer increases two to three times, it indicates that there is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infection. Histopathological examination shows that diffuse glomerulonephritis occurs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because almost all glomerulus are affected. </w:t>
      </w:r>
    </w:p>
    <w:p>
      <w:pPr>
        <w:autoSpaceDN w:val="0"/>
        <w:autoSpaceDE w:val="0"/>
        <w:widowControl/>
        <w:spacing w:line="245" w:lineRule="auto" w:before="52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macroscopic examination, the kidneys look slightly enlarged and pale, and there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bleeding points in the cortex as a result of the proliferation of strong glomerular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endothelial cells, capillary lumen, and Bowman's closed hoop space. In addition, there is also </w:t>
      </w:r>
    </w:p>
    <w:p>
      <w:pPr>
        <w:autoSpaceDN w:val="0"/>
        <w:tabs>
          <w:tab w:pos="8696" w:val="left"/>
        </w:tabs>
        <w:autoSpaceDE w:val="0"/>
        <w:widowControl/>
        <w:spacing w:line="197" w:lineRule="auto" w:before="70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rPr>
          <w:rFonts w:ascii="Calibri" w:hAnsi="Calibri" w:eastAsia="Calibri"/>
          <w:b w:val="0"/>
          <w:i w:val="0"/>
          <w:color w:val="000000"/>
          <w:sz w:val="22"/>
        </w:rPr>
        <w:t>232</w:t>
      </w:r>
    </w:p>
    <w:p>
      <w:pPr>
        <w:sectPr>
          <w:pgSz w:w="11906" w:h="16838"/>
          <w:pgMar w:top="376" w:right="1364" w:bottom="356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Yuan Agita Aprilia R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*, Adivia Cheries D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245" w:lineRule="auto" w:before="492" w:after="0"/>
        <w:ind w:left="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infiltration of monocyte cells, polymorphonuclear, and capsule epithelial cells so that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thickened basement membrane will look irregular when examined through an electron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microscope. Streptococcal globulins, complements, and antigens can form hump clumps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subepithelium (Khalighi &amp; Chang, 2021). </w:t>
      </w:r>
    </w:p>
    <w:p>
      <w:pPr>
        <w:autoSpaceDN w:val="0"/>
        <w:autoSpaceDE w:val="0"/>
        <w:widowControl/>
        <w:spacing w:line="245" w:lineRule="auto" w:before="54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who exhibit symptoms such as gross hematuria, puffiness, and hypertension,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well as acute renal failure after streptococcal infection, should suspect post-streptococcal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acute glomerulonephritis. Typical signs of glomerulonephritis in urinalysis, evidence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laboratory streptococcal infection (ASTO more than 100 Todd), and low levels of C3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complement (less than 4 years or more than 15 years) have a history of disease with similar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symptoms, accompanied by chronic renal failure, GFR below 50% of normal age, macroscopic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hematuria more than 3 months or microscopic hematuria more than 1 year,  C3 levels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decrease over 3 months as well as refractory proteinuria. </w:t>
      </w:r>
    </w:p>
    <w:p>
      <w:pPr>
        <w:autoSpaceDN w:val="0"/>
        <w:autoSpaceDE w:val="0"/>
        <w:widowControl/>
        <w:spacing w:line="245" w:lineRule="auto" w:before="52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 of GNAPS patients is symptomatic and more aimed at preventing acute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renal failure and eradication of the organism ((Mosquera &amp; Pedreañez, 2021); Smith J.M.,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2003; (Sikesa &amp; Loekman, 2020); (Ramdhani, Harun, &amp; Marlina, 2022)). Immediate medical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care is required if symptoms of oedema, hypertension, or elevated blood creatinine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present. The patient does not experience a negative impact on the course of the disease after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resting for three to four weeks, and can then begin mobilization after three to four weeks from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onset of the disease (Mosquera-Sulbaran et al., 2023). Giving antibiotics in the acute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phase does not affect the worsening of the condition of glomerulonephritis, but rather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reduces the spread of Streptococcal infections that may still exist. In the acute phase, penicillin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administration is recommended only for ten days. </w:t>
      </w:r>
    </w:p>
    <w:p>
      <w:pPr>
        <w:autoSpaceDN w:val="0"/>
        <w:autoSpaceDE w:val="0"/>
        <w:widowControl/>
        <w:spacing w:line="245" w:lineRule="auto" w:before="56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However, after the state of nephritis improves (the causative germ decreases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disappears), the administration of penicillin for prevention or prophylaxis for a long period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not recommended due to the presence of persistent immune mechanisms. Although there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small chance that a child will be infected again with another nephritogen germ, there is still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chance that the condition of GNAPS will occur again in the future. Penicillin can be combined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amoxicillin 50 mg/kg body weight divided by 3 doses for 10 days. </w:t>
      </w:r>
    </w:p>
    <w:p>
      <w:pPr>
        <w:autoSpaceDN w:val="0"/>
        <w:autoSpaceDE w:val="0"/>
        <w:widowControl/>
        <w:spacing w:line="245" w:lineRule="auto" w:before="52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 allergic to penicillin, replace it with erythromycin 30 mg/kg body weight/day divided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3 doses ((Newcomer et al., 2021); (Duong &amp; Reidy, 2022); (Mosquera &amp; Pedreañez, 2021);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(Moorani et al., 2022); (Sumarno &amp; Tjiang, 2022)). In the acute phase, low-protein (1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g/kgbb/day) and low-salt (1g/day) feedings are required. Patients who have a fever are given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soft food until the temperature returns to normal. In case of anuria or vomiting, IVFD with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10% glucose solution can be administered to patients without complications. If there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complications such as heart failure, oedema, hypertension, and oliguria, the amount of fluid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given should be limited ((Hahn, Samuel, Willis, Craig, &amp; Hodson, 2020);(Kellum et al., 2021)). </w:t>
      </w:r>
    </w:p>
    <w:p>
      <w:pPr>
        <w:autoSpaceDN w:val="0"/>
        <w:autoSpaceDE w:val="0"/>
        <w:widowControl/>
        <w:spacing w:line="245" w:lineRule="auto" w:before="56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addition, treatment of hypertension is also necessary. For mild hypertension,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antihypertensives are usually not given but need close observation. In moderate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hypertension, diuretics are given with a minimum dose of 0.5mg to 2 mg/kg/dose or ACE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inhibitors at a dose of 0.5 mg/kg/day divided by 3 doses. However, if this treatment does not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produce the desired results, vasodilator-class antihypertensives can be given. Meanwhile,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hypertensive crises, vasodilators are given at a dose of 0.002 mg/kg / 8 hours or can be given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sublingual nifedipine 0.25-0.5 mg / kgbb ((Mosquera-Sulbaran et al., 2023); (Brant Pinheiro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al., 2022)).  Peritoneal measures of dialysis or hemodialysis may be considered in cases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acute renal failure ((Hahn et al., 2020);(Kellum et al., 2021)). </w:t>
      </w:r>
    </w:p>
    <w:p>
      <w:pPr>
        <w:autoSpaceDN w:val="0"/>
        <w:autoSpaceDE w:val="0"/>
        <w:widowControl/>
        <w:spacing w:line="245" w:lineRule="auto" w:before="54" w:after="0"/>
        <w:ind w:left="2" w:right="0" w:firstLine="70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Complications that can occur include, oliguria to anuria due to decreased glomerular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filtration (if oliguria lasts more than 2-3 days until anuria and is accompanied by symptoms </w:t>
      </w:r>
    </w:p>
    <w:p>
      <w:pPr>
        <w:autoSpaceDN w:val="0"/>
        <w:tabs>
          <w:tab w:pos="8696" w:val="left"/>
        </w:tabs>
        <w:autoSpaceDE w:val="0"/>
        <w:widowControl/>
        <w:spacing w:line="197" w:lineRule="auto" w:before="40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233 </w:t>
      </w:r>
    </w:p>
    <w:p>
      <w:pPr>
        <w:sectPr>
          <w:pgSz w:w="11906" w:h="16838"/>
          <w:pgMar w:top="368" w:right="1364" w:bottom="502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tabs>
          <w:tab w:pos="6466" w:val="left"/>
        </w:tabs>
        <w:autoSpaceDE w:val="0"/>
        <w:widowControl/>
        <w:spacing w:line="245" w:lineRule="auto" w:before="0" w:after="0"/>
        <w:ind w:left="4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 8-Years-Old Child With Post Streptococcal Related Acute Glomerulonephritis Accompanied By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Pleural Effusion: Case Report</w:t>
      </w:r>
    </w:p>
    <w:p>
      <w:pPr>
        <w:autoSpaceDN w:val="0"/>
        <w:autoSpaceDE w:val="0"/>
        <w:widowControl/>
        <w:spacing w:line="245" w:lineRule="auto" w:before="248" w:after="0"/>
        <w:ind w:left="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as acute renal failure with uremia, hyperkalemia, and acidosis, peritonial dialysis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hemodialysis can be considered) ((Kellum et al., 2021); (Sethi et al., 2022)), hypertensive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encephalopathy (localized vascular spasm with anoxia and brain oedema causing visual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disturbances, dizziness, vomiting, and convulsions) ((Mosquera-Sulbaran et al., 2023);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(Mattoo &amp; Sanjad, 2022); (Kondziella &amp; Waldemar, 2023)), circulatory disorders due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increased plasma volume in the form of dyspnea, orthopnea, crackles, enlarged heart to heart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failure (Rodriguez B &amp;; Mezzano S., 2009), anaemia due to erythropoietin formation disorders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((Sumarno &amp; Tjiang, 2022); (Mattoo &amp; Sanjad, 2022)). </w:t>
      </w:r>
    </w:p>
    <w:p>
      <w:pPr>
        <w:autoSpaceDN w:val="0"/>
        <w:autoSpaceDE w:val="0"/>
        <w:widowControl/>
        <w:spacing w:line="245" w:lineRule="auto" w:before="56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Most pediatric patients with GNAPS will recover, diuresis will become normal again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days seven to ten, and oedema and blood pressure will gradually become normal again.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Within one week, kidney function improves and normalizes within three to four weeks. Within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six to eight weeks, the serum complex normalizes. However, urinary sediment abnormalities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will remain visible in most patients for months, even years ((Mosquera-Sulbaran et al., 2023);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(Mosquera &amp; Pedreañez, 2021); (Saha et al., 2022). In a study conducted on 36 individuals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who developed biopsy-proven poststreptococcal acute glomerulonephritis, followed for 9.5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years, the prognosis for a complete cure was excellent, one patient developed hypertension,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two others developed long-lasting mild proteinuria (Mosquera &amp; Pedreañez, 2021). </w:t>
      </w:r>
    </w:p>
    <w:p>
      <w:pPr>
        <w:autoSpaceDN w:val="0"/>
        <w:tabs>
          <w:tab w:pos="710" w:val="left"/>
        </w:tabs>
        <w:autoSpaceDE w:val="0"/>
        <w:widowControl/>
        <w:spacing w:line="245" w:lineRule="auto" w:before="346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CONCLUSION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cases presented, there are indications that the patient suffers from acute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post-streptococcal glomerulonephritis (GNAPS) with complications of bilateral pleural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effusion. GNAPS is a condition that arises after infection by group A beta-hemolytic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Streptococcus bacteria. This is in accordance with the patient's history which shows a history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fever, cough, and runny nose before the appearance of swollen symptoms. </w:t>
      </w:r>
    </w:p>
    <w:p>
      <w:pPr>
        <w:autoSpaceDN w:val="0"/>
        <w:autoSpaceDE w:val="0"/>
        <w:widowControl/>
        <w:spacing w:line="245" w:lineRule="auto" w:before="54" w:after="0"/>
        <w:ind w:left="2" w:right="24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physical examination also indicates oedema throughout the body, high blood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pressure, and bilateral pleural effusion. Laboratory findings, such as decreased levels of C3,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hematuria, and proteinuria, also support the diagnosis of GNAPS. Based on the analysis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examination and the findings, appropriate management should be given to the patient. </w:t>
      </w:r>
    </w:p>
    <w:p>
      <w:pPr>
        <w:autoSpaceDN w:val="0"/>
        <w:autoSpaceDE w:val="0"/>
        <w:widowControl/>
        <w:spacing w:line="245" w:lineRule="auto" w:before="52" w:after="0"/>
        <w:ind w:left="2" w:right="0" w:firstLine="70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 of GNAPS patients aims to control symptoms, prevent further kidney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damage, and provide supportive therapy. Patients can be given antibiotics to treat infections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may be a trigger for GNAPS. In addition, diuretic therapy is given to reduce oedema, while </w:t>
      </w:r>
      <w:r>
        <w:rPr>
          <w:rFonts w:ascii="Calibri" w:hAnsi="Calibri" w:eastAsia="Calibri"/>
          <w:b w:val="0"/>
          <w:i w:val="0"/>
          <w:color w:val="000000"/>
          <w:sz w:val="24"/>
        </w:rPr>
        <w:t>the use of ACE inhibitors or calcium channel blockers can help control blood pressure. A low-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salt diet is also recommended to reduce fluid retention. It is also important to periodically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monitor the patient's kidney function. </w:t>
      </w:r>
    </w:p>
    <w:p>
      <w:pPr>
        <w:autoSpaceDN w:val="0"/>
        <w:autoSpaceDE w:val="0"/>
        <w:widowControl/>
        <w:spacing w:line="245" w:lineRule="auto" w:before="52" w:after="0"/>
        <w:ind w:left="2" w:right="0" w:firstLine="70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In addition to pharmacological treatment, it is also important to provide non-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pharmacological approaches such as educating patients and families about the importance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disease management and a healthy diet. Management of a low-salt diet, control of blood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pressure, and periodic checkups are important steps in the long-term management of patients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GNAPS. </w:t>
      </w:r>
    </w:p>
    <w:p>
      <w:pPr>
        <w:autoSpaceDN w:val="0"/>
        <w:autoSpaceDE w:val="0"/>
        <w:widowControl/>
        <w:spacing w:line="245" w:lineRule="auto" w:before="52" w:after="0"/>
        <w:ind w:left="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Therapy should be adapted to the clinical state of the patient, and it is necessary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conduct regular monitoring to evaluate the response to treatment and detect complications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may arise. With proper management, it is hoped that patients can recover from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condition of GNAPS and prevent further kidney damage. </w:t>
      </w:r>
    </w:p>
    <w:p>
      <w:pPr>
        <w:autoSpaceDN w:val="0"/>
        <w:autoSpaceDE w:val="0"/>
        <w:widowControl/>
        <w:spacing w:line="197" w:lineRule="auto" w:before="346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BIBLIOGRAPHY </w:t>
      </w:r>
    </w:p>
    <w:p>
      <w:pPr>
        <w:autoSpaceDN w:val="0"/>
        <w:autoSpaceDE w:val="0"/>
        <w:widowControl/>
        <w:spacing w:line="197" w:lineRule="auto" w:before="3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Bertschi, L. A. (2020). Concentration and volume: understanding sodium and water in the </w:t>
      </w:r>
    </w:p>
    <w:p>
      <w:pPr>
        <w:autoSpaceDN w:val="0"/>
        <w:tabs>
          <w:tab w:pos="8696" w:val="left"/>
        </w:tabs>
        <w:autoSpaceDE w:val="0"/>
        <w:widowControl/>
        <w:spacing w:line="197" w:lineRule="auto" w:before="70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rPr>
          <w:rFonts w:ascii="Calibri" w:hAnsi="Calibri" w:eastAsia="Calibri"/>
          <w:b w:val="0"/>
          <w:i w:val="0"/>
          <w:color w:val="000000"/>
          <w:sz w:val="22"/>
        </w:rPr>
        <w:t>234</w:t>
      </w:r>
    </w:p>
    <w:p>
      <w:pPr>
        <w:sectPr>
          <w:pgSz w:w="11906" w:h="16838"/>
          <w:pgMar w:top="376" w:right="1364" w:bottom="356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Yuan Agita Aprilia R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*, Adivia Cheries D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197" w:lineRule="auto" w:before="492" w:after="0"/>
        <w:ind w:left="4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body. </w:t>
      </w:r>
      <w:r>
        <w:rPr>
          <w:rFonts w:ascii="Calibri" w:hAnsi="Calibri" w:eastAsia="Calibri"/>
          <w:b w:val="0"/>
          <w:i/>
          <w:color w:val="000000"/>
          <w:sz w:val="24"/>
        </w:rPr>
        <w:t>AJN The American Journal of Nursing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120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51–56. </w:t>
      </w:r>
    </w:p>
    <w:p>
      <w:pPr>
        <w:autoSpaceDN w:val="0"/>
        <w:autoSpaceDE w:val="0"/>
        <w:widowControl/>
        <w:spacing w:line="245" w:lineRule="auto" w:before="54" w:after="0"/>
        <w:ind w:left="482" w:right="2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Brant Pinheiro, S. V., de Freitas, V. B., de Castro, G. V., Rufino Madeiro, B. C., de Araújo, S. A.,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Silva Ribeiro, T. F., &amp; Simões e Silva, A. C. (2022). Acute post-streptococcal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glomerulonephritis in children: a comprehensive review. </w:t>
      </w:r>
      <w:r>
        <w:rPr>
          <w:rFonts w:ascii="Calibri" w:hAnsi="Calibri" w:eastAsia="Calibri"/>
          <w:b w:val="0"/>
          <w:i/>
          <w:color w:val="000000"/>
          <w:sz w:val="24"/>
        </w:rPr>
        <w:t>Current Medicinal Chemistry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(34), 5543–5559.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Colvin, R. B., Chang, A., &amp; Cornell, L. D. (2023). </w:t>
      </w:r>
      <w:r>
        <w:rPr>
          <w:rFonts w:ascii="Calibri" w:hAnsi="Calibri" w:eastAsia="Calibri"/>
          <w:b w:val="0"/>
          <w:i/>
          <w:color w:val="000000"/>
          <w:sz w:val="24"/>
        </w:rPr>
        <w:t>Diagnostic pathology: kidney diseases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Elsevier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Sciences.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Duong, M. D., &amp; Reidy, K. J. (2022). Acute postinfectious glomerulonephritis.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Pediatric Clinics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of North America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69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(6), 1051–1078. </w:t>
      </w:r>
    </w:p>
    <w:p>
      <w:pPr>
        <w:autoSpaceDN w:val="0"/>
        <w:autoSpaceDE w:val="0"/>
        <w:widowControl/>
        <w:spacing w:line="245" w:lineRule="auto" w:before="52" w:after="0"/>
        <w:ind w:left="482" w:right="2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Ge, H., Wang, X., Deng, T., Deng, X., Mao, H., Yuan, Q., &amp; Xiao, X. (2020). Clinical characteristics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acute glomerulonephritis with presentation of nephrotic syndrome at onset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children. </w:t>
      </w:r>
      <w:r>
        <w:rPr>
          <w:rFonts w:ascii="Calibri" w:hAnsi="Calibri" w:eastAsia="Calibri"/>
          <w:b w:val="0"/>
          <w:i/>
          <w:color w:val="000000"/>
          <w:sz w:val="24"/>
        </w:rPr>
        <w:t>International Immunopharmacology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86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106724.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Glomerulopathy, F., Glomerulopathy, I., &amp; Glomerulopathy, C. T. I. F. (2023). Diseases With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Organized Deposits. </w:t>
      </w:r>
      <w:r>
        <w:rPr>
          <w:rFonts w:ascii="Calibri" w:hAnsi="Calibri" w:eastAsia="Calibri"/>
          <w:b w:val="0"/>
          <w:i/>
          <w:color w:val="000000"/>
          <w:sz w:val="24"/>
        </w:rPr>
        <w:t>Diagnostic Pathology: Kidney Diseases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302. </w:t>
      </w:r>
    </w:p>
    <w:p>
      <w:pPr>
        <w:autoSpaceDN w:val="0"/>
        <w:autoSpaceDE w:val="0"/>
        <w:widowControl/>
        <w:spacing w:line="245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Hahn, D., Samuel, S. M., Willis, N. S., Craig, J. C., &amp; Hodson, E. M. (2020). Corticosteroid therapy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nephrotic syndrome in children. </w:t>
      </w:r>
      <w:r>
        <w:rPr>
          <w:rFonts w:ascii="Calibri" w:hAnsi="Calibri" w:eastAsia="Calibri"/>
          <w:b w:val="0"/>
          <w:i/>
          <w:color w:val="000000"/>
          <w:sz w:val="24"/>
        </w:rPr>
        <w:t>Cochrane Database of Systematic Reviews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(8).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Kellum, J. A., Romagnani, P., Ashuntantang, G., Ronco, C., Zarbock, A., &amp; Anders, H.-J. (2021).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Acute kidney injury. </w:t>
      </w:r>
      <w:r>
        <w:rPr>
          <w:rFonts w:ascii="Calibri" w:hAnsi="Calibri" w:eastAsia="Calibri"/>
          <w:b w:val="0"/>
          <w:i/>
          <w:color w:val="000000"/>
          <w:sz w:val="24"/>
        </w:rPr>
        <w:t>Nature Reviews Disease Primers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7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1–17.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Khalighi, M. A., &amp; Chang, A. (2021). Infection-related glomerulonephritis.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Glomerular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Diseases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82–91.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Kondziella, D., &amp; Waldemar, G. (2023). Differential Diagnosis:“What Is the Lesion?” In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Neurology at the Bedside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(pp. 137–281). Springer.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6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Köppl, T., &amp; Helmig, R. (n.d.). </w:t>
      </w:r>
      <w:r>
        <w:rPr>
          <w:rFonts w:ascii="Calibri" w:hAnsi="Calibri" w:eastAsia="Calibri"/>
          <w:b w:val="0"/>
          <w:i/>
          <w:color w:val="000000"/>
          <w:sz w:val="24"/>
        </w:rPr>
        <w:t>Dimension Reduced Modeling of Blood Flow in Large Arteries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Lombel, R. M., Brakeman, P. R., Sack, B. S., &amp; Butani, L. (2022). Urologic considerations 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pediatric chronic kidney disease. </w:t>
      </w:r>
      <w:r>
        <w:rPr>
          <w:rFonts w:ascii="Calibri" w:hAnsi="Calibri" w:eastAsia="Calibri"/>
          <w:b w:val="0"/>
          <w:i/>
          <w:color w:val="000000"/>
          <w:sz w:val="24"/>
        </w:rPr>
        <w:t>Advances in Chronic Kidney Disease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308–317.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Matsumoto, Y., Aryal, R. P., Heimburg-Molinaro, J., Park, S. S., Wever, W. J., Lehoux, S., …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Chapman, A. B. (2022). Identification and characterization of circulating immune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complexes in IgA nephropathy. </w:t>
      </w:r>
      <w:r>
        <w:rPr>
          <w:rFonts w:ascii="Calibri" w:hAnsi="Calibri" w:eastAsia="Calibri"/>
          <w:b w:val="0"/>
          <w:i/>
          <w:color w:val="000000"/>
          <w:sz w:val="24"/>
        </w:rPr>
        <w:t>Science Advances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8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(43), eabm8783.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Mattoo, T. K., &amp; Sanjad, S. (2022). Current understanding of nephrotic syndrome in children.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Pediatric Clinics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69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(6), 1079–1098.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Moorani, K. N., Aziz, M., &amp; Amanullah, F. (2022). Rapidly progressive glomerulonephritis 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children. </w:t>
      </w:r>
      <w:r>
        <w:rPr>
          <w:rFonts w:ascii="Calibri" w:hAnsi="Calibri" w:eastAsia="Calibri"/>
          <w:b w:val="0"/>
          <w:i/>
          <w:color w:val="000000"/>
          <w:sz w:val="24"/>
        </w:rPr>
        <w:t>Pakistan Journal of Medical Sciences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38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417.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Mosquera-Sulbaran, J. A., Pedreañez, A., Vargas, R., &amp; Hernandez-Fonseca, J. P. (2023). </w:t>
      </w:r>
    </w:p>
    <w:p>
      <w:pPr>
        <w:autoSpaceDN w:val="0"/>
        <w:autoSpaceDE w:val="0"/>
        <w:widowControl/>
        <w:spacing w:line="245" w:lineRule="auto" w:before="54" w:after="0"/>
        <w:ind w:left="4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Apoptosis in post-streptococcal glomerulonephritis and mechanisms for failed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inflammation resolution. </w:t>
      </w:r>
      <w:r>
        <w:rPr>
          <w:rFonts w:ascii="Calibri" w:hAnsi="Calibri" w:eastAsia="Calibri"/>
          <w:b w:val="0"/>
          <w:i/>
          <w:color w:val="000000"/>
          <w:sz w:val="24"/>
        </w:rPr>
        <w:t>Pediatric Nephrology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1–16.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Mosquera, J., &amp; Pedreañez, A. (2021). Acute post-streptococcal glomerulonephritis: analysis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the pathogenesis. </w:t>
      </w:r>
      <w:r>
        <w:rPr>
          <w:rFonts w:ascii="Calibri" w:hAnsi="Calibri" w:eastAsia="Calibri"/>
          <w:b w:val="0"/>
          <w:i/>
          <w:color w:val="000000"/>
          <w:sz w:val="24"/>
        </w:rPr>
        <w:t>International Reviews of Immunology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(6), 381–400.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Newcomer, B. W., Cebra, C., Chamorro, M. F., Reppert, E., Cebra, M., &amp; Edmondson, M. A. </w:t>
      </w:r>
    </w:p>
    <w:p>
      <w:pPr>
        <w:autoSpaceDN w:val="0"/>
        <w:autoSpaceDE w:val="0"/>
        <w:widowControl/>
        <w:spacing w:line="245" w:lineRule="auto" w:before="54" w:after="26"/>
        <w:ind w:left="4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(2021). Diseases of the hematologic, immunologic, and lymphatic systems (multisystem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diseases). </w:t>
      </w:r>
      <w:r>
        <w:rPr>
          <w:rFonts w:ascii="Calibri" w:hAnsi="Calibri" w:eastAsia="Calibri"/>
          <w:b w:val="0"/>
          <w:i/>
          <w:color w:val="000000"/>
          <w:sz w:val="24"/>
        </w:rPr>
        <w:t>Sheep, Goat, and Cervid Medicine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405.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8.000000000000114" w:type="dxa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</w:tblGrid>
      <w:tr>
        <w:trPr>
          <w:trHeight w:hRule="exact" w:val="2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Rajindrajith,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S.,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Devanarayana,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M.,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Chanpong,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A.,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&amp;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Thapar,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(2020). </w:t>
            </w:r>
          </w:p>
        </w:tc>
      </w:tr>
    </w:tbl>
    <w:p>
      <w:pPr>
        <w:autoSpaceDN w:val="0"/>
        <w:autoSpaceDE w:val="0"/>
        <w:widowControl/>
        <w:spacing w:line="245" w:lineRule="auto" w:before="26" w:after="0"/>
        <w:ind w:left="4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Neurogastroenterology and motility disorders in pediatric population. In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Clinical and </w:t>
      </w:r>
      <w:r>
        <w:rPr>
          <w:rFonts w:ascii="Calibri" w:hAnsi="Calibri" w:eastAsia="Calibri"/>
          <w:b w:val="0"/>
          <w:i/>
          <w:color w:val="000000"/>
          <w:sz w:val="24"/>
        </w:rPr>
        <w:t>Basic Neurogastroenterology and Motility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(pp. 535–556). Elsevier. </w:t>
      </w:r>
    </w:p>
    <w:p>
      <w:pPr>
        <w:autoSpaceDN w:val="0"/>
        <w:autoSpaceDE w:val="0"/>
        <w:widowControl/>
        <w:spacing w:line="245" w:lineRule="auto" w:before="54" w:after="0"/>
        <w:ind w:left="482" w:right="2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Ramdhani, S. S., Harun, N., &amp; Marlina, T. (2022). Evaluation of the Rationality of Appropriate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Doses of Corticosteroid Drugs in Patients With Nephrotic Syndrome in Hospitals.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Jurnal </w:t>
      </w:r>
      <w:r>
        <w:rPr>
          <w:rFonts w:ascii="Calibri" w:hAnsi="Calibri" w:eastAsia="Calibri"/>
          <w:b w:val="0"/>
          <w:i/>
          <w:color w:val="000000"/>
          <w:sz w:val="24"/>
        </w:rPr>
        <w:t>Kesehatan Stikes Muhammadiyah Ciamis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7–16.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Saha, M. K., Massicotte-Azarniouch, D., Reynolds, M. L., Mottl, A. K., Falk, R. J., Jennette, J. C., </w:t>
      </w:r>
    </w:p>
    <w:p>
      <w:pPr>
        <w:autoSpaceDN w:val="0"/>
        <w:tabs>
          <w:tab w:pos="8696" w:val="left"/>
        </w:tabs>
        <w:autoSpaceDE w:val="0"/>
        <w:widowControl/>
        <w:spacing w:line="197" w:lineRule="auto" w:before="40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235 </w:t>
      </w:r>
    </w:p>
    <w:p>
      <w:pPr>
        <w:sectPr>
          <w:pgSz w:w="11906" w:h="16838"/>
          <w:pgMar w:top="368" w:right="1362" w:bottom="502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tabs>
          <w:tab w:pos="6466" w:val="left"/>
        </w:tabs>
        <w:autoSpaceDE w:val="0"/>
        <w:widowControl/>
        <w:spacing w:line="245" w:lineRule="auto" w:before="0" w:after="0"/>
        <w:ind w:left="4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 8-Years-Old Child With Post Streptococcal Related Acute Glomerulonephritis Accompanied By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Pleural Effusion: Case Report</w:t>
      </w:r>
    </w:p>
    <w:p>
      <w:pPr>
        <w:autoSpaceDN w:val="0"/>
        <w:autoSpaceDE w:val="0"/>
        <w:widowControl/>
        <w:spacing w:line="245" w:lineRule="auto" w:before="248" w:after="0"/>
        <w:ind w:left="4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&amp; Derebail, V. K. (2022). Glomerular hematuria and the utility of urine microscopy: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review. </w:t>
      </w:r>
      <w:r>
        <w:rPr>
          <w:rFonts w:ascii="Calibri" w:hAnsi="Calibri" w:eastAsia="Calibri"/>
          <w:b w:val="0"/>
          <w:i/>
          <w:color w:val="000000"/>
          <w:sz w:val="24"/>
        </w:rPr>
        <w:t>American Journal of Kidney Diseases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80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383–392. </w:t>
      </w:r>
    </w:p>
    <w:p>
      <w:pPr>
        <w:autoSpaceDN w:val="0"/>
        <w:autoSpaceDE w:val="0"/>
        <w:widowControl/>
        <w:spacing w:line="245" w:lineRule="auto" w:before="52" w:after="0"/>
        <w:ind w:left="482" w:right="20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Satoskar, A. A., Parikh, S. V, &amp; Nadasdy, T. (2020). Epidemiology, pathogenesis, treatment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outcomes of infection-associated glomerulonephritis. </w:t>
      </w:r>
      <w:r>
        <w:rPr>
          <w:rFonts w:ascii="Calibri" w:hAnsi="Calibri" w:eastAsia="Calibri"/>
          <w:b w:val="0"/>
          <w:i/>
          <w:color w:val="000000"/>
          <w:sz w:val="24"/>
        </w:rPr>
        <w:t>Nature Reviews Nephrology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32–50.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Sethi, S., De Vriese, A. S., &amp; Fervenza, F. C. (2022). Acute glomerulonephritis. </w:t>
      </w:r>
      <w:r>
        <w:rPr>
          <w:rFonts w:ascii="Calibri" w:hAnsi="Calibri" w:eastAsia="Calibri"/>
          <w:b w:val="0"/>
          <w:i/>
          <w:color w:val="000000"/>
          <w:sz w:val="24"/>
        </w:rPr>
        <w:t>The Lancet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399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(10335), 1646–1663.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Sikesa, I. G. P. H., &amp; Loekman, J. S. (2020). Diagnostic problems in a patient with nephritic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syndrome. </w:t>
      </w:r>
      <w:r>
        <w:rPr>
          <w:rFonts w:ascii="Calibri" w:hAnsi="Calibri" w:eastAsia="Calibri"/>
          <w:b w:val="0"/>
          <w:i/>
          <w:color w:val="000000"/>
          <w:sz w:val="24"/>
        </w:rPr>
        <w:t>International Journal of Medical Reviews and Case Reports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(5), 62. </w:t>
      </w:r>
    </w:p>
    <w:p>
      <w:pPr>
        <w:autoSpaceDN w:val="0"/>
        <w:autoSpaceDE w:val="0"/>
        <w:widowControl/>
        <w:spacing w:line="245" w:lineRule="auto" w:before="52" w:after="0"/>
        <w:ind w:left="482" w:right="20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Sumarno, Y. A., &amp; Tjiang, N. (2022). Case Report: Coexistence of acute post-streptococcal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glomerulonephritis and rheumatic heart disease in a 9 years old girl.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GSC Advanced </w:t>
      </w:r>
      <w:r>
        <w:rPr>
          <w:rFonts w:ascii="Calibri" w:hAnsi="Calibri" w:eastAsia="Calibri"/>
          <w:b w:val="0"/>
          <w:i/>
          <w:color w:val="000000"/>
          <w:sz w:val="24"/>
        </w:rPr>
        <w:t>Research and Reviews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7–12. </w:t>
      </w:r>
    </w:p>
    <w:p>
      <w:pPr>
        <w:autoSpaceDN w:val="0"/>
        <w:autoSpaceDE w:val="0"/>
        <w:widowControl/>
        <w:spacing w:line="245" w:lineRule="auto" w:before="52" w:after="0"/>
        <w:ind w:left="482" w:right="20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Syed, S., Viazmina, L., Mager, R., Meri, S., &amp; Haapasalo, K. (2020). Streptococci and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complement system: interplay during infection, inflammation and autoimmunity.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FEBS </w:t>
      </w:r>
      <w:r>
        <w:rPr>
          <w:rFonts w:ascii="Calibri" w:hAnsi="Calibri" w:eastAsia="Calibri"/>
          <w:b w:val="0"/>
          <w:i/>
          <w:color w:val="000000"/>
          <w:sz w:val="24"/>
        </w:rPr>
        <w:t>Letters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594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(16), 2570–2585. 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5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Zhang, P., Yang, X., Fang, X., Xu, C., Gao, C., &amp; Xia, Z. (2023). Anti-C1q antibodies in lupus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nephritis children with glomerular microthrombosis. </w:t>
      </w:r>
      <w:r>
        <w:rPr>
          <w:rFonts w:ascii="Calibri" w:hAnsi="Calibri" w:eastAsia="Calibri"/>
          <w:b w:val="0"/>
          <w:i/>
          <w:color w:val="000000"/>
          <w:sz w:val="24"/>
        </w:rPr>
        <w:t>Nephrology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28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(9), 485–494. </w:t>
      </w:r>
    </w:p>
    <w:p>
      <w:pPr>
        <w:autoSpaceDN w:val="0"/>
        <w:autoSpaceDE w:val="0"/>
        <w:widowControl/>
        <w:spacing w:line="245" w:lineRule="auto" w:before="976" w:after="0"/>
        <w:ind w:left="2448" w:right="259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Copyright Holder: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Yuan Agita Aprilia R, Adivia Cheries D </w:t>
      </w:r>
      <w:r>
        <w:rPr>
          <w:rFonts w:ascii="Calibri" w:hAnsi="Calibri" w:eastAsia="Calibri"/>
          <w:b w:val="0"/>
          <w:i w:val="0"/>
          <w:color w:val="000000"/>
          <w:sz w:val="24"/>
        </w:rPr>
        <w:t>(2024)</w:t>
      </w:r>
    </w:p>
    <w:p>
      <w:pPr>
        <w:autoSpaceDN w:val="0"/>
        <w:autoSpaceDE w:val="0"/>
        <w:widowControl/>
        <w:spacing w:line="245" w:lineRule="auto" w:before="346" w:after="0"/>
        <w:ind w:left="3312" w:right="331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First Publication Right: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 </w:t>
      </w:r>
    </w:p>
    <w:p>
      <w:pPr>
        <w:autoSpaceDN w:val="0"/>
        <w:autoSpaceDE w:val="0"/>
        <w:widowControl/>
        <w:spacing w:line="197" w:lineRule="auto" w:before="348" w:after="0"/>
        <w:ind w:left="0" w:right="299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autoSpaceDE w:val="0"/>
        <w:widowControl/>
        <w:spacing w:line="240" w:lineRule="auto" w:before="4" w:after="36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0739" cy="2959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739" cy="29591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2"/>
        <w:gridCol w:w="4552"/>
      </w:tblGrid>
      <w:tr>
        <w:trPr>
          <w:trHeight w:hRule="exact" w:val="5950"/>
        </w:trPr>
        <w:tc>
          <w:tcPr>
            <w:tcW w:type="dxa" w:w="90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52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4, April 2024 </w:t>
            </w:r>
          </w:p>
        </w:tc>
        <w:tc>
          <w:tcPr>
            <w:tcW w:type="dxa" w:w="3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76" w:right="1364" w:bottom="356" w:left="143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