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2240" w:h="15840"/>
          <w:pgMar w:top="802" w:right="1440" w:bottom="50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802" w:right="1440" w:bottom="502" w:left="1440" w:header="720" w:footer="720" w:gutter="0"/>
          <w:cols w:num="2" w:equalWidth="0">
            <w:col w:w="4836" w:space="0"/>
            <w:col w:w="4524" w:space="0"/>
          </w:cols>
          <w:docGrid w:linePitch="360"/>
        </w:sectPr>
      </w:pPr>
    </w:p>
    <w:p>
      <w:pPr>
        <w:autoSpaceDN w:val="0"/>
        <w:tabs>
          <w:tab w:pos="1824" w:val="left"/>
        </w:tabs>
        <w:autoSpaceDE w:val="0"/>
        <w:widowControl/>
        <w:spacing w:line="245" w:lineRule="auto" w:before="0" w:after="346"/>
        <w:ind w:left="102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5 May, 2024 </w:t>
      </w:r>
      <w:r>
        <w:rPr>
          <w:rFonts w:ascii="Calibri" w:hAnsi="Calibri" w:eastAsia="Calibri"/>
          <w:b/>
          <w:i w:val="0"/>
          <w:color w:val="000000"/>
          <w:sz w:val="22"/>
        </w:rPr>
        <w:t>p ISSN 2723-6927-e ISSN 2723-4339</w:t>
      </w:r>
    </w:p>
    <w:p>
      <w:pPr>
        <w:sectPr>
          <w:type w:val="nextColumn"/>
          <w:pgSz w:w="12240" w:h="15840"/>
          <w:pgMar w:top="802" w:right="1440" w:bottom="502" w:left="1440" w:header="720" w:footer="720" w:gutter="0"/>
          <w:cols w:num="2" w:equalWidth="0">
            <w:col w:w="4836" w:space="0"/>
            <w:col w:w="45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Differences Between Discovery Learning And Case-Based Learning Using Animated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Videos On Critical Thinking Skills In Start Triage Among Undergraduate Nursing Students </w:t>
      </w:r>
    </w:p>
    <w:p>
      <w:pPr>
        <w:autoSpaceDN w:val="0"/>
        <w:autoSpaceDE w:val="0"/>
        <w:widowControl/>
        <w:spacing w:line="245" w:lineRule="auto" w:before="324" w:after="0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Rystika Angga Sari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, Retno Lestari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Yati Sri Hayati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Faculty of Health Sciences, Brawijya University, Malang, 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email: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rystikaangga61@gmail.com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1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retno.lestari.fk@ub.ac.id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 yshayati.fk@ub.ac.id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3</w:t>
          </w:r>
        </w:hyperlink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2004 disaster in Aceh underscores the need to strengthen disaster triage preparedness.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Triage would be more accurate when considering human resource factors. Students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educated nurse candidates who will serve the community through their ability to think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critically. Innovative learning opens opportunities to sharpen critical thinking in students'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preparedness for emergency disaster situations. This study analyzes the differences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discovery learning and case-based learning on critical thinking in START Triage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among undergraduate nursing students. This quasi-experimental study used a pre-test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post-test design involving 40 undergraduate nursing students selected through purposive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sampling and divided into two groups: control and intervention. Data collection utilized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 Thinking Disposition Inventory questionnaire. The results of the Paired T-test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revealed differences in critical thinking ability in START Triage before and after receiving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discovery learning and case-based learning. Furthermore, the independent T-test results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indicated a significant influence of case-based and discovery learning on critical thinking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ability in START Triage. Case-based learning utilizing animated videos significantly impacted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nursing students' critical thinking ability in START Triage. Using animated videos as a basis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case-based learning provides a foundation for educational institutions to integrate into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learning activities and disaster simulation exercises to enhance the quality of Triage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services. </w:t>
      </w:r>
    </w:p>
    <w:p>
      <w:pPr>
        <w:autoSpaceDN w:val="0"/>
        <w:autoSpaceDE w:val="0"/>
        <w:widowControl/>
        <w:spacing w:line="197" w:lineRule="auto" w:before="34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Keywords: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Animated Videos, Critical Thinking, START Triage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is an impossible phenomenon for the whole world to avoid, thereby allowing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damage and loss of life (Gustiani et al., 2021). According to 2018 World Risk Report data,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is ranked 36th with a risk value of 10.36 out of 172 countries, categorized as most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vulnerable to natural disasters (Fariza &amp; Handayani, 2022). Based on data from the National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Management Agency (BNPB), it is estimated that in 2021, there will be around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3,093 disaster incidents in Indonesia. The number of disaster incidents is estimated to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decreased by 33.5% from 2020.  According to the BNPB study, although there has been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decrease, the increase in frequency is found in the impact of disasters. The number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victims who died increased by 76.9%, injured victims by 2180.5%, the number of victims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66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318 </w:t>
      </w:r>
    </w:p>
    <w:p>
      <w:pPr>
        <w:sectPr>
          <w:type w:val="continuous"/>
          <w:pgSz w:w="12240" w:h="15840"/>
          <w:pgMar w:top="802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Rystika Angga 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Retno Lestari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Yati Sri Hayati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were displaced reached an increase of 24%, and 116.3% of houses were damaged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(Jamil et al., 2022). The above phenomena have shown that Indonesia is a disaster-prone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country that requires an integrated system to deal with disasters appropriately.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(Khambali &amp; ST, 2017), the most vital aspect of disaster management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prevention and mitigation. Prevention and mitigation actions are efforts to reduce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risks through infrastructure regulation, education, and training (Hardy &amp; Calleja,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2019). Meanwhile, according to (Paquay et al., 2021), disaster management is divided into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four parts: learning how to Triage, managing injured patients, enhancing preparedness,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improving disaster care. Early preparation for disaster can be facilitated through education,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training, simulations, and increasing community capacity.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Triage learning is one part of disaster preparedness to minimize patient classification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errors that can lead to disabilities (Bostick et al., 2008). The START Triage (Simple et al.)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disaster Triage system used internationally and studied worldwide, used to classify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based on their urgency type quickly, accurately, and efficiently (Aubrion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2022). In this study, the use of START Triage was chosen because, in several kinds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literature, it is recognized as a disaster Triage approach due to its ease of implementation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ability to provide rapid assessment. Triage assessments that fail to handle a large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number of patients may result in over-triage and under-triage effects, even leading to deaths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(Bhaumik et al., 2022). 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Overtriage refers to the decision to classify patients with lower or moderate severity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 as requiring higher levels of emergency care than actually necessary (Ayenew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2022). Meanwhile, Undertriage is the condition where patients with severe injury levels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deemed to require lower levels of emergency care than actually necessary (Bazyar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2019). In disaster management, overtime and Undertriage pose challenges that need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addressed in the Triage assessment system to ensure accurate patient management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situations.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(Chan, Man, &amp; Lam, 2019) identified barriers in disaster procedures related to human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resources, particularly healthcare workers who may lack optimal knowledge and disaster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response abilities. Additionally, students, as future healthcare professionals, have limited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and imagination regarding disasters (Kim &amp; Lee, 2021). Therefore, education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university level can deepen the understanding of Triage-related knowledge to cultivate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disaster-ready professionals (Rofifah et al., 2019). </w:t>
      </w:r>
    </w:p>
    <w:p>
      <w:pPr>
        <w:autoSpaceDN w:val="0"/>
        <w:autoSpaceDE w:val="0"/>
        <w:widowControl/>
        <w:spacing w:line="245" w:lineRule="auto" w:before="54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conducted by (Chen et al., 2011), which focuses on nursing education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programs, highlights the need for nursing graduates to engage in critical thinking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evaluate information in their practice. However, several studies indicate that critical thinking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abilities among nursing graduates are relatively low despite nursing educators in colleges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facilitating critical thinking methods (Syaznas &amp; Jannah, 2022).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preliminary studies conducted by researchers on March 20, 2023, through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distribution of questionnaires and interviews with eighth-semester nursing students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of the nursing colleges in Malang City, it was found that four out of fifteen students met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criteria for critical thinking skills. A good understanding of the Triage concept is essential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patient response skills (Natarianto et al., 2018). This suggests that students need to be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61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319 </w:t>
      </w:r>
    </w:p>
    <w:p>
      <w:pPr>
        <w:sectPr>
          <w:pgSz w:w="12240" w:h="15840"/>
          <w:pgMar w:top="36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74" w:right="144" w:hanging="8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Differences Between Discovery Learning And Case-Based Learning Using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Critical Thinking Skills In Start Triage Among Undergraduate Nursing Students </w:t>
      </w:r>
    </w:p>
    <w:p>
      <w:pPr>
        <w:autoSpaceDN w:val="0"/>
        <w:autoSpaceDE w:val="0"/>
        <w:widowControl/>
        <w:spacing w:line="245" w:lineRule="auto" w:before="46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facilitated in critically thinking about patient responses, especially in Triage, which is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integral aspect of emergency care. </w:t>
      </w:r>
    </w:p>
    <w:p>
      <w:pPr>
        <w:autoSpaceDN w:val="0"/>
        <w:autoSpaceDE w:val="0"/>
        <w:widowControl/>
        <w:spacing w:line="245" w:lineRule="auto" w:before="54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use of learning models needs to be considered to support the success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Triage learning process. Discovery Learning (DL) can be applied to stimulate learners and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of the learning methods in education because it strengthens the concepts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 presented (Rahayu et al., 2023). However, there are still shortcomings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implementation of this learning model, such as abstract and monotonous learning,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makes students less interested. Therefore, research on innovative learning methods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needed.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Hence, the researchers compared it with the Case Based Learning (CBL) model using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animated videos. This innovative model utilizes disaster scenario-focused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a case-by-case basis. Case-based learning encourages students to actively solve problems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a stimulus for critical thinking and decision-making individually or in groups (Aluisio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2016). CBL learning with animated videos also makes students more interested due to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dynamic nature, thus enhancing their engagement with the content being delivered.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the tool for CBL learning innovation takes the form of 3D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Powtoon, specifically designed for Triage topics. The topics introduce definitions,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history, objectives, principles of use, algorithms, and documentation of Triage along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case scenario. The 3D animated video is packaged as attractively as possible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transforming imagination, ideas, concepts, and visuals so that the contained context can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effectively conveyed. Therefore, the researchers aim to determine whether there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 in critical thinking abilities before and after the provision of START Triage using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case-based and discovery learning models among undergraduate nursing students.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contributes to the existing body of knowledge by investigating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differences between discovery learning and case-based learning using animated videos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 thinking skills in START Triage among undergraduate nursing students. This study's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novelty lies in its application of a quasi-experimental design to assess the impact of these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learning models on critical thinking skills in a disaster triage context, which is crucial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 disaster management. The findings of this study can inform educational institutions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most effective methods to enhance critical thinking skills in nursing students,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ultimately improving disaster response and patient care outcomes.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RESEARCHED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design used in this research is the Quasi-Experimental with a control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>intervention group. The sampling method used was purposive sampling. In the pretest-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posttest design method, namely, before the trial is carried out on two groups, an assessment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carried out first on the two groups, and after the assessment or measurement is carried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out, the researcher provides the treatment. This research assesses critical thinking first,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then researchers provide treatment in the form of the START Triage learning model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case-based learning and discovery learning models. Furthermore, another trial was carried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 at the end of the research. Researchers compared the differences between the two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119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320</w:t>
      </w:r>
    </w:p>
    <w:p>
      <w:pPr>
        <w:sectPr>
          <w:pgSz w:w="12240" w:h="15840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Rystika Angga 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Retno Lestari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Yati Sri Hayati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learning models on critical thinking skills by providing learning models in the form of case-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and discovery to two groups, A and B.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data analysis technique used in this research involves comparing the pretest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posttest scores of the two intervention groups (case-based learning and discovery learning)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assess the impact of the different learning models on critical thinking skills.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comparison likely includes statistical methods such as paired t-tests or analysis of variance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(ANOVA) to determine if there are significant differences in critical thinking skills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groups after the intervention. Additionally, the researchers may employ descriptive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statistics to summarize the characteristics of the sample and inferential statistics to draw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conclusions about the broader population of undergraduate nursing students in semester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VII. </w:t>
      </w:r>
    </w:p>
    <w:p>
      <w:pPr>
        <w:autoSpaceDN w:val="0"/>
        <w:autoSpaceDE w:val="0"/>
        <w:widowControl/>
        <w:spacing w:line="245" w:lineRule="auto" w:before="56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According to Lemeshow, the minimum sample in this study was 40 people.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sample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research was undergraduate nursing students in semester VII. In this study, two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different intervention groups were obtained. The total number of respondents in this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40 respondents, so the total respondents were divided into two intervention groups,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20 respondents used the case-based learning model and 20 respondents used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discovery learning model. The instrument was obtained from (Redhana, Karyasa, &amp; Atrisa,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2017) research with the title Development of Critical Thinking Disposition Inventory: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validity and reliability. Researchers adopted this instrument to be given to nursing students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context of disaster Triage to measure nursing students' ability to think critically.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Description of Respondent Characteristics based on Age and Gender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number of samples in this research was 40 respondents from regular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undergraduate students who were in semester VII at STIKes (Institute of Health Science)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Widyagama Husada Malang. The following is data on the frequency distribution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based on age and gender. </w:t>
      </w:r>
    </w:p>
    <w:p>
      <w:pPr>
        <w:autoSpaceDN w:val="0"/>
        <w:autoSpaceDE w:val="0"/>
        <w:widowControl/>
        <w:spacing w:line="197" w:lineRule="auto" w:before="54" w:after="2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1. Frequency Distribution Table of Respondents Based on Age and Gender (N= 40)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90"/>
        </w:trPr>
        <w:tc>
          <w:tcPr>
            <w:tcW w:type="dxa" w:w="239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142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142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Frequency </w:t>
            </w:r>
          </w:p>
        </w:tc>
        <w:tc>
          <w:tcPr>
            <w:tcW w:type="dxa" w:w="14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Percentages </w:t>
            </w:r>
          </w:p>
        </w:tc>
        <w:tc>
          <w:tcPr>
            <w:tcW w:type="dxa" w:w="245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239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167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 years old </w:t>
            </w:r>
          </w:p>
        </w:tc>
        <w:tc>
          <w:tcPr>
            <w:tcW w:type="dxa" w:w="11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10% </w:t>
            </w:r>
          </w:p>
        </w:tc>
        <w:tc>
          <w:tcPr>
            <w:tcW w:type="dxa" w:w="245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 years old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5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1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45%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 years old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5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32,5%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 years old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6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10%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 years old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6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1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0%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 years old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6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2,5%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6"/>
        </w:trPr>
        <w:tc>
          <w:tcPr>
            <w:tcW w:type="dxa" w:w="406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9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54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4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100%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02"/>
        </w:trPr>
        <w:tc>
          <w:tcPr>
            <w:tcW w:type="dxa" w:w="239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850"/>
            <w:gridSpan w:val="3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Gender </w:t>
            </w:r>
          </w:p>
        </w:tc>
        <w:tc>
          <w:tcPr>
            <w:tcW w:type="dxa" w:w="142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5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2"/>
        </w:trPr>
        <w:tc>
          <w:tcPr>
            <w:tcW w:type="dxa" w:w="4060"/>
            <w:gridSpan w:val="3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0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Man </w:t>
            </w:r>
          </w:p>
        </w:tc>
        <w:tc>
          <w:tcPr>
            <w:tcW w:type="dxa" w:w="11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42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12,5% </w:t>
            </w:r>
          </w:p>
        </w:tc>
        <w:tc>
          <w:tcPr>
            <w:tcW w:type="dxa" w:w="2456"/>
            <w:vMerge w:val="restart"/>
            <w:tcBorders>
              <w:top w:sz="3.199999999999818" w:val="single" w:color="#000000"/>
              <w:bottom w:sz="3.199999999999818" w:val="single" w:color="#9191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7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Woman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5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1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87,5% </w:t>
            </w:r>
          </w:p>
        </w:tc>
        <w:tc>
          <w:tcPr>
            <w:tcW w:type="dxa" w:w="1560"/>
            <w:vMerge/>
            <w:tcBorders>
              <w:top w:sz="3.199999999999818" w:val="single" w:color="#000000"/>
              <w:bottom w:sz="3.199999999999818" w:val="single" w:color="#919191"/>
            </w:tcBorders>
          </w:tcPr>
          <w:p/>
        </w:tc>
      </w:tr>
      <w:tr>
        <w:trPr>
          <w:trHeight w:hRule="exact" w:val="286"/>
        </w:trPr>
        <w:tc>
          <w:tcPr>
            <w:tcW w:type="dxa" w:w="4060"/>
            <w:gridSpan w:val="3"/>
            <w:tcBorders>
              <w:bottom w:sz="3.199999999999818" w:val="single" w:color="#9191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03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1180"/>
            <w:tcBorders>
              <w:bottom w:sz="3.199999999999818" w:val="single" w:color="#9191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5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424"/>
            <w:tcBorders>
              <w:bottom w:sz="3.199999999999818" w:val="single" w:color="#9191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100% </w:t>
            </w:r>
          </w:p>
        </w:tc>
        <w:tc>
          <w:tcPr>
            <w:tcW w:type="dxa" w:w="1560"/>
            <w:vMerge/>
            <w:tcBorders>
              <w:top w:sz="3.199999999999818" w:val="single" w:color="#000000"/>
              <w:bottom w:sz="3.199999999999818" w:val="single" w:color="#919191"/>
            </w:tcBorders>
          </w:tcPr>
          <w:p/>
        </w:tc>
      </w:tr>
      <w:tr>
        <w:trPr>
          <w:trHeight w:hRule="exact" w:val="1350"/>
        </w:trPr>
        <w:tc>
          <w:tcPr>
            <w:tcW w:type="dxa" w:w="5240"/>
            <w:gridSpan w:val="4"/>
            <w:tcBorders>
              <w:top w:sz="3.199999999999818" w:val="single" w:color="#9191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5, May 2024 </w:t>
            </w:r>
          </w:p>
        </w:tc>
        <w:tc>
          <w:tcPr>
            <w:tcW w:type="dxa" w:w="1424"/>
            <w:tcBorders>
              <w:top w:sz="3.199999999999818" w:val="single" w:color="#91919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56"/>
            <w:tcBorders>
              <w:top w:sz="3.199999999999818" w:val="single" w:color="#9191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6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74" w:right="144" w:hanging="8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Differences Between Discovery Learning And Case-Based Learning Using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Critical Thinking Skills In Start Triage Among Undergraduate Nursing Students </w:t>
      </w:r>
    </w:p>
    <w:p>
      <w:pPr>
        <w:autoSpaceDN w:val="0"/>
        <w:autoSpaceDE w:val="0"/>
        <w:widowControl/>
        <w:spacing w:line="245" w:lineRule="auto" w:before="46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Table 1.1 above shows that of the total respondents in this study, on average, almost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half were 21 years old (45%) among the 20-25 year age range, and on average, almost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were women (87,5%). </w:t>
      </w:r>
    </w:p>
    <w:p>
      <w:pPr>
        <w:autoSpaceDN w:val="0"/>
        <w:tabs>
          <w:tab w:pos="582" w:val="left"/>
          <w:tab w:pos="828" w:val="left"/>
          <w:tab w:pos="3058" w:val="left"/>
        </w:tabs>
        <w:autoSpaceDE w:val="0"/>
        <w:widowControl/>
        <w:spacing w:line="245" w:lineRule="auto" w:before="52" w:after="6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of Analysis of Differences in Critical Thinking in CBL and DSL Learning Groups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research results, it was found that critical thinking increased after being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given CBL learning in the intervention group and DSL in the control group, which can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described as: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2. Paired Sample T-test Results on Critical Thinking between the Intervention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Group and Control Group (N=20)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8.0000000000001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18"/>
        </w:trPr>
        <w:tc>
          <w:tcPr>
            <w:tcW w:type="dxa" w:w="1344"/>
            <w:vMerge w:val="restart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Variable </w:t>
            </w:r>
          </w:p>
        </w:tc>
        <w:tc>
          <w:tcPr>
            <w:tcW w:type="dxa" w:w="1878"/>
            <w:vMerge w:val="restart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5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Group </w:t>
            </w:r>
          </w:p>
        </w:tc>
        <w:tc>
          <w:tcPr>
            <w:tcW w:type="dxa" w:w="1388"/>
            <w:vMerge w:val="restart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Mean </w:t>
            </w:r>
          </w:p>
        </w:tc>
        <w:tc>
          <w:tcPr>
            <w:tcW w:type="dxa" w:w="1536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Mean </w:t>
            </w:r>
          </w:p>
        </w:tc>
        <w:tc>
          <w:tcPr>
            <w:tcW w:type="dxa" w:w="1536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Std. </w:t>
            </w:r>
          </w:p>
        </w:tc>
        <w:tc>
          <w:tcPr>
            <w:tcW w:type="dxa" w:w="764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 </w:t>
            </w:r>
          </w:p>
        </w:tc>
      </w:tr>
      <w:tr>
        <w:trPr>
          <w:trHeight w:hRule="exact" w:val="278"/>
        </w:trPr>
        <w:tc>
          <w:tcPr>
            <w:tcW w:type="dxa" w:w="1560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60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60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Different </w:t>
            </w:r>
          </w:p>
        </w:tc>
        <w:tc>
          <w:tcPr>
            <w:tcW w:type="dxa" w:w="15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Deviation </w:t>
            </w:r>
          </w:p>
        </w:tc>
        <w:tc>
          <w:tcPr>
            <w:tcW w:type="dxa" w:w="76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value </w:t>
            </w:r>
          </w:p>
        </w:tc>
      </w:tr>
      <w:tr>
        <w:trPr>
          <w:trHeight w:hRule="exact" w:val="322"/>
        </w:trPr>
        <w:tc>
          <w:tcPr>
            <w:tcW w:type="dxa" w:w="134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Critical </w:t>
            </w:r>
          </w:p>
        </w:tc>
        <w:tc>
          <w:tcPr>
            <w:tcW w:type="dxa" w:w="187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CBL Before </w:t>
            </w:r>
          </w:p>
        </w:tc>
        <w:tc>
          <w:tcPr>
            <w:tcW w:type="dxa" w:w="13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118.70 </w:t>
            </w:r>
          </w:p>
        </w:tc>
        <w:tc>
          <w:tcPr>
            <w:tcW w:type="dxa" w:w="153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26.750 </w:t>
            </w:r>
          </w:p>
        </w:tc>
        <w:tc>
          <w:tcPr>
            <w:tcW w:type="dxa" w:w="15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10.388 </w:t>
            </w:r>
          </w:p>
        </w:tc>
        <w:tc>
          <w:tcPr>
            <w:tcW w:type="dxa" w:w="76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0.000 </w:t>
            </w:r>
          </w:p>
        </w:tc>
      </w:tr>
      <w:tr>
        <w:trPr>
          <w:trHeight w:hRule="exact" w:val="276"/>
        </w:trPr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7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7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After </w:t>
            </w:r>
          </w:p>
        </w:tc>
        <w:tc>
          <w:tcPr>
            <w:tcW w:type="dxa" w:w="138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145.45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11.889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134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thinking </w:t>
            </w:r>
          </w:p>
        </w:tc>
        <w:tc>
          <w:tcPr>
            <w:tcW w:type="dxa" w:w="187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DSL Before </w:t>
            </w:r>
          </w:p>
        </w:tc>
        <w:tc>
          <w:tcPr>
            <w:tcW w:type="dxa" w:w="13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117.90 </w:t>
            </w:r>
          </w:p>
        </w:tc>
        <w:tc>
          <w:tcPr>
            <w:tcW w:type="dxa" w:w="153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17.250 </w:t>
            </w:r>
          </w:p>
        </w:tc>
        <w:tc>
          <w:tcPr>
            <w:tcW w:type="dxa" w:w="15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8.071 </w:t>
            </w:r>
          </w:p>
        </w:tc>
        <w:tc>
          <w:tcPr>
            <w:tcW w:type="dxa" w:w="76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0.000 </w:t>
            </w:r>
          </w:p>
        </w:tc>
      </w:tr>
      <w:tr>
        <w:trPr>
          <w:trHeight w:hRule="exact" w:val="292"/>
        </w:trPr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7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7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After </w:t>
            </w:r>
          </w:p>
        </w:tc>
        <w:tc>
          <w:tcPr>
            <w:tcW w:type="dxa" w:w="138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135.15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8.869 </w:t>
            </w:r>
          </w:p>
        </w:tc>
        <w:tc>
          <w:tcPr>
            <w:tcW w:type="dxa" w:w="156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tabs>
          <w:tab w:pos="690" w:val="left"/>
          <w:tab w:pos="828" w:val="left"/>
        </w:tabs>
        <w:autoSpaceDE w:val="0"/>
        <w:widowControl/>
        <w:spacing w:line="245" w:lineRule="auto" w:before="48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Information: CBL = intervention group, DSL = control group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1.2 above, in the Paired Samples Test, it can be seen that there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difference in respondents' critical thinking after START Triage learning. Where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significance value in the table for the intervention group and control group both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significant (meaningful) changes, namely the p-value of 0.000, which means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value is smaller than the α value (0.05). Even though both experienced an increase,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can be seen in the different items in the mean, where a significant change occurred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CBL group with a mean value of 26.75, while in the DSL group, the mean value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17,250. These results indicate that learning using the CBL model is more effective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improving respondents' critical thinking compared to the DSL learning model. </w:t>
      </w:r>
    </w:p>
    <w:p>
      <w:pPr>
        <w:autoSpaceDN w:val="0"/>
        <w:tabs>
          <w:tab w:pos="828" w:val="left"/>
          <w:tab w:pos="906" w:val="left"/>
          <w:tab w:pos="2386" w:val="left"/>
        </w:tabs>
        <w:autoSpaceDE w:val="0"/>
        <w:widowControl/>
        <w:spacing w:line="245" w:lineRule="auto" w:before="52" w:after="2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of analysis of the influence of critical thinking after providing intervention in the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CBL and DSL learning groups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independent t-test was carried out to determine the difference in improvement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critical thinking variables between the intervention group and the control group.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obtained can be described in : </w:t>
      </w:r>
      <w:r>
        <w:br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Table 3. Independent Sample T-test Results on Critical Thinking between the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Intervention Group  and Control Group (N=20)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4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18"/>
        </w:trPr>
        <w:tc>
          <w:tcPr>
            <w:tcW w:type="dxa" w:w="1732"/>
            <w:vMerge w:val="restart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Variable </w:t>
            </w:r>
          </w:p>
        </w:tc>
        <w:tc>
          <w:tcPr>
            <w:tcW w:type="dxa" w:w="838"/>
            <w:vMerge w:val="restart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Group </w:t>
            </w:r>
          </w:p>
        </w:tc>
        <w:tc>
          <w:tcPr>
            <w:tcW w:type="dxa" w:w="32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Mean Difference </w:t>
            </w:r>
          </w:p>
        </w:tc>
        <w:tc>
          <w:tcPr>
            <w:tcW w:type="dxa" w:w="117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Std. </w:t>
            </w:r>
          </w:p>
        </w:tc>
        <w:tc>
          <w:tcPr>
            <w:tcW w:type="dxa" w:w="936"/>
            <w:vMerge w:val="restart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 value </w:t>
            </w:r>
          </w:p>
        </w:tc>
      </w:tr>
      <w:tr>
        <w:trPr>
          <w:trHeight w:hRule="exact" w:val="278"/>
        </w:trPr>
        <w:tc>
          <w:tcPr>
            <w:tcW w:type="dxa" w:w="1872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872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329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in Pre-test and Post-test Scores </w:t>
            </w:r>
          </w:p>
        </w:tc>
        <w:tc>
          <w:tcPr>
            <w:tcW w:type="dxa" w:w="117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Deviation </w:t>
            </w:r>
          </w:p>
        </w:tc>
        <w:tc>
          <w:tcPr>
            <w:tcW w:type="dxa" w:w="1872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302"/>
        </w:trPr>
        <w:tc>
          <w:tcPr>
            <w:tcW w:type="dxa" w:w="2570"/>
            <w:gridSpan w:val="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Critical thinking CBL </w:t>
            </w:r>
          </w:p>
        </w:tc>
        <w:tc>
          <w:tcPr>
            <w:tcW w:type="dxa" w:w="329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26.75 </w:t>
            </w:r>
          </w:p>
        </w:tc>
        <w:tc>
          <w:tcPr>
            <w:tcW w:type="dxa" w:w="117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11.447 </w:t>
            </w:r>
          </w:p>
        </w:tc>
        <w:tc>
          <w:tcPr>
            <w:tcW w:type="dxa" w:w="93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0.021 </w:t>
            </w:r>
          </w:p>
        </w:tc>
      </w:tr>
      <w:tr>
        <w:trPr>
          <w:trHeight w:hRule="exact" w:val="306"/>
        </w:trPr>
        <w:tc>
          <w:tcPr>
            <w:tcW w:type="dxa" w:w="2570"/>
            <w:gridSpan w:val="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DSL </w:t>
            </w:r>
          </w:p>
        </w:tc>
        <w:tc>
          <w:tcPr>
            <w:tcW w:type="dxa" w:w="329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17.25 </w:t>
            </w:r>
          </w:p>
        </w:tc>
        <w:tc>
          <w:tcPr>
            <w:tcW w:type="dxa" w:w="117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13.451 </w:t>
            </w:r>
          </w:p>
        </w:tc>
        <w:tc>
          <w:tcPr>
            <w:tcW w:type="dxa" w:w="93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690" w:val="left"/>
          <w:tab w:pos="828" w:val="left"/>
        </w:tabs>
        <w:autoSpaceDE w:val="0"/>
        <w:widowControl/>
        <w:spacing w:line="245" w:lineRule="auto" w:before="48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Information: CBL = intervention group, DSL = control group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1.3 above, in the Independent Sample Test, it can be seen that there </w:t>
      </w:r>
      <w:r>
        <w:rPr>
          <w:rFonts w:ascii="Calibri" w:hAnsi="Calibri" w:eastAsia="Calibri"/>
          <w:b w:val="0"/>
          <w:i w:val="0"/>
          <w:color w:val="000000"/>
          <w:sz w:val="24"/>
        </w:rPr>
        <w:t>is a difference in respondents' critical thinking between the CBL and DSL groups with a p-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 of 0.021, which means this value is smaller than the α value (0.05), meaning that there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a difference in the results of improving thinking. Critical after being given intervention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the intervention and control groups. In the group statistics results, it can be seen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8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322</w:t>
      </w:r>
    </w:p>
    <w:p>
      <w:pPr>
        <w:sectPr>
          <w:pgSz w:w="12240" w:h="15840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Rystika Angga 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Retno Lestari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Yati Sri Hayati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the average (mean) value of increasing critical thinking in the control group was 17.25,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value of increasing critical thinking in the intervention group was 26.75,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means that the average result of increasing critical thinking after being given the CBL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learning model intervention was more dominant. Provide an influence compared to the DSL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learning model in the control group.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results of the differences in critical thinking abilities between CBL and DSL,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findings indicate that there are significant differences in critical thinking skills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before and after participating in START Triage learning with both CBL and DSL models.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However, although differences are evident in the DSL model, it also has weaknesses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learning process compared to the CBL model, as evidenced by the statistical results. The DSL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model appears more monotonous in its implementation, thus making it less engaging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respondents. The DSL model provides concept reinforcement stimuli, making learning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easier to process compared to static presentations (Grogans et al., 2023). The DSL model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utilized PowerPoint media containing disaster-illustrating videos. DSL model,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movement, color, sound, and text in the media, can significantly enhance cognitive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engagement.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 thinking is an individual's tendency toward their ability to perform certain tasks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activities through reasoning processes (Yasmini, 2021). This study measured critical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thinking by triaging seven indicators in the data collection questionnaire. Respondents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participating in CBL learning model activities will undergo significant changes in educational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dynamics, student roles, didactics for knowledge transmission, and teaching-learning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strategies (Boso, van der Merwe, &amp; Gross, 2021). These changes revolve around students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actively participating in the learning process to achieve greater development in critical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thinking capacity, self-directed learning, and self-evaluation.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an essential foundation for education, critical thinking skills involve efforts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acquire or seek, analyze, and conceptualize information as a guide to developing thinking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processes to achieve a solution to a problem (Handayani, Budiarti, Kusmajid, &amp; Khairil,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In the CBL learning model, with the assistance of animated videos and the case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method, respondents are encouraged to develop critical thinking skills, allowing them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integrate their knowledge as future professionals in the context of Triage (Rahmawati,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Rosida, &amp; Kholidin, 2020). This critical thinking process also fosters teamwork collaboration,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thinking from different perspectives, and encourages idea exchange in finding solutions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together.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demonstrates that after participating in the CBL learning model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animated video combinations, respondents have the ability to develop critical thinking,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can be useful in both simple and complex situations. This learning model, combined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animated videos featuring text features in each explanation, aids respondents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managing the information received with their verbal abilities. The animated videos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 interactive 3D images to help respondents enhance critical thinking regarding START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Triage through their spatial visual abilities. This study offers a CBL learning model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assistance of a combination of animated videos and case studies, where there has been no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research attempting to apply this model specifically in disaster nursing education.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61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323 </w:t>
      </w:r>
    </w:p>
    <w:p>
      <w:pPr>
        <w:sectPr>
          <w:pgSz w:w="12240" w:h="15840"/>
          <w:pgMar w:top="36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74" w:right="144" w:hanging="8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Differences Between Discovery Learning And Case-Based Learning Using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Critical Thinking Skills In Start Triage Among Undergraduate Nursing Students </w:t>
      </w:r>
    </w:p>
    <w:p>
      <w:pPr>
        <w:autoSpaceDN w:val="0"/>
        <w:autoSpaceDE w:val="0"/>
        <w:widowControl/>
        <w:spacing w:line="245" w:lineRule="auto" w:before="462" w:after="0"/>
        <w:ind w:left="262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studies have mainly applied simulation methods or game-based learning.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this research focuses on learning with animated videos centered on students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(student-centered).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improvement in critical thinking abilities between CBL and DSL groups has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influence on their critical thinking abilities after receiving START Triage education.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study, the CBL group or treatment has a higher difference or influence value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compared to the DSL group or control group, possibly due to the integration of the learning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model with a combination of animated video media and case studies. Thus, cognitive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processes will be actively and organizedly involved in problem identification, evaluation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acquired information, searching for evidence to solve problems, and drawing conclusions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(Hasnah et al., 2024). </w:t>
      </w:r>
    </w:p>
    <w:p>
      <w:pPr>
        <w:autoSpaceDN w:val="0"/>
        <w:autoSpaceDE w:val="0"/>
        <w:widowControl/>
        <w:spacing w:line="245" w:lineRule="auto" w:before="56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learning process in CBL is superior because it requires respondents to think, recall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previously acquired knowledge, connect initial knowledge learned in disaster cases,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interpret and analyze to solve cases or problems in the context of disasters depicted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animated videos (Chiang et al., 2021). 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Statistical analysis results show that in critical thinking after receiving CBL and DSL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learning models, both groups have higher mean difference values in the CBL group, meaning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the use of the CBL learning model has a greater impact on critical thinking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respondents. In this study, the use of 3D animated videos in the CBL model provides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opportunities for interaction in the learning context to be more easily understood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accepted. This model is more effective and makes the learning process more interesting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enjoyable compared to the DSL model with PowerPoint media, even though they share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student-centered principle.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development of this CBL model with animated videos considers moving images,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audio, text, and appealing colors in a unified manner that reflects the clarity of the learning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context, thus providing its own attraction for respondents even though the learning context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quite complex (Hwang et al., 2018). However, animated videos can stimulate the brain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remember information longer than explanations in static DSL learning.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combined with the case study method facilitate the presentation of dynamic visual material,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allowing viewers to visualize abstract ideas. This can facilitate respondent understanding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encourage critical thinking.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to determine the difference between the use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START Triage learning model between CBL and DSL on critical thinking in undergraduate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nursing students at STIKes Widyagama Husada Malang, it can be concluded as follows: There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a difference in critical thinking before and after providing START Triage education using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case based learning model to undergraduate nursing students. There was an influence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critical thinking after providing START Triage education between the case-based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discovery learning groups for undergraduate nursing students. CBL learning, which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supported by technology-based animated video media, can be considered for use 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 for the existing learning process, especially on disaster topics, which not only focus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90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324</w:t>
      </w:r>
    </w:p>
    <w:p>
      <w:pPr>
        <w:sectPr>
          <w:pgSz w:w="12240" w:h="15840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Rystika Angga 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Retno Lestari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Yati Sri Hayati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students but can also be used in services without being constrained by space and time.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need for a detailed critical thinking process in nursing that is really good at every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element by students and health workers can help in considering the pros and cons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providing health services, especially in disaster management, and involving many human </w:t>
      </w:r>
      <w:r>
        <w:rPr>
          <w:rFonts w:ascii="Calibri" w:hAnsi="Calibri" w:eastAsia="Calibri"/>
          <w:b w:val="0"/>
          <w:i w:val="0"/>
          <w:color w:val="000000"/>
          <w:sz w:val="24"/>
        </w:rPr>
        <w:t>resources who take part in it. For future research, it would be beneficial to explore the long-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 effects of utilizing different learning models, such as case-based learning (CBL)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discovery learning (DSL), on critical thinking skills among undergraduate nursing students.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Longitudinal studies could track the development of critical thinking abilities over time,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assessing not only immediate post-intervention effects but also whether these skills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sustained and transferable to real-world nursing practice. Additionally, comparative studies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could investigate the effectiveness of integrating various educational technologies,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animated video media, into different learning models. This could help identify the most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 combination of instructional methods and technology-enhanced resources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promoting critical thinking in nursing education. Furthermore, research could delve deeper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into the specific elements of critical thinking that are most enhanced by different learning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approaches. Understanding which aspects of critical thinking are most impacted by CBL,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DSL, or other instructional methods can inform the development of targeted interventions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strengthen these skills in nursing students. Lastly, exploring the application of critical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thinking skills in specific healthcare contexts, such as disaster management, as mentioned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study, could provide valuable insights into the practical implications of enhanced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 thinking abilities for healthcare professionals. This could involve simulation-based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training or observational studies in real-world healthcare settings to assess how critical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thinking influences decision-making and patient outcomes during crisis situations.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45" w:lineRule="auto" w:before="348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Aluisio, Adam R., Daniel, Pia, Grock, Andrew, Freedman, Joseph, Singh, Ajai, Papanagnou,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Dimitrios, &amp; Arquilla, Bonnie. (2016). Case-based learning outperformed simulation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exercises in disaster preparedness education among nursing trainees in India: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randomized 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>Prehospital and Disaster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(5), 516–523. </w:t>
      </w:r>
    </w:p>
    <w:p>
      <w:pPr>
        <w:autoSpaceDN w:val="0"/>
        <w:autoSpaceDE w:val="0"/>
        <w:widowControl/>
        <w:spacing w:line="245" w:lineRule="auto" w:before="54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Aubrion, Antoine, Clanet, Romain, Jourdan, Jean Pierre, Creveuil, Christian, Roupie, Eric,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Macrez, Richard. (2022). FRENCH versus ESI: comparison between two nurse triage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scales with referent scenarios. </w:t>
      </w:r>
      <w:r>
        <w:rPr>
          <w:rFonts w:ascii="Calibri" w:hAnsi="Calibri" w:eastAsia="Calibri"/>
          <w:b w:val="0"/>
          <w:i/>
          <w:color w:val="000000"/>
          <w:sz w:val="24"/>
        </w:rPr>
        <w:t>BMC Emergency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201. </w:t>
      </w:r>
    </w:p>
    <w:p>
      <w:pPr>
        <w:autoSpaceDN w:val="0"/>
        <w:autoSpaceDE w:val="0"/>
        <w:widowControl/>
        <w:spacing w:line="245" w:lineRule="auto" w:before="52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Bhaumik, Smitha, Hannun, Merhej, Dymond, Chelsea, DeSanto, Kristen, Barrett, Whitney,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Wallis, Lee A., &amp; Mould-Millman, Nee Kofi. (2022). Prehospital triage tools across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world: a scoping review of the published literature.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Scandinavian Journal of Trauma, </w:t>
      </w:r>
      <w:r>
        <w:rPr>
          <w:rFonts w:ascii="Calibri" w:hAnsi="Calibri" w:eastAsia="Calibri"/>
          <w:b w:val="0"/>
          <w:i/>
          <w:color w:val="000000"/>
          <w:sz w:val="24"/>
        </w:rPr>
        <w:t>Resuscitation and Emergency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32.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Boso, Christian Makafui, van der Merwe, Anita S., &amp; Gross, Janet. (2021). Critical thinking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disposition of nursing students: a quantitative investigation.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Nurse Education in </w:t>
      </w:r>
      <w:r>
        <w:rPr>
          <w:rFonts w:ascii="Calibri" w:hAnsi="Calibri" w:eastAsia="Calibri"/>
          <w:b w:val="0"/>
          <w:i/>
          <w:color w:val="000000"/>
          <w:sz w:val="24"/>
        </w:rPr>
        <w:t>Practice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103167. </w:t>
      </w:r>
    </w:p>
    <w:p>
      <w:pPr>
        <w:autoSpaceDN w:val="0"/>
        <w:autoSpaceDE w:val="0"/>
        <w:widowControl/>
        <w:spacing w:line="245" w:lineRule="auto" w:before="54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Bostick, Nathan A., Subbarao, Italo, Burkle, Frederick M., Hsu, Edbert B., Armstrong, John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H., &amp; James, James J. (2008). Disaster triage systems for large-scale catastrophic events.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61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325 </w:t>
      </w:r>
    </w:p>
    <w:p>
      <w:pPr>
        <w:sectPr>
          <w:pgSz w:w="12240" w:h="15840"/>
          <w:pgMar w:top="36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74" w:right="144" w:hanging="8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Differences Between Discovery Learning And Case-Based Learning Using Animated Videos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Critical Thinking Skills In Start Triage Among Undergraduate Nursing Students </w:t>
      </w:r>
    </w:p>
    <w:p>
      <w:pPr>
        <w:autoSpaceDN w:val="0"/>
        <w:autoSpaceDE w:val="0"/>
        <w:widowControl/>
        <w:spacing w:line="197" w:lineRule="auto" w:before="462" w:after="0"/>
        <w:ind w:left="742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>Disaster Medicine and Public Health Preparedness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(S1), S35–S39.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Chan, E. Y. Y., Man, A. Y. T., &amp; Lam, H. C. Y. (2019). Scientific evidence on natural disasters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emergency and disaster risk management in Asian rural-based area.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British </w:t>
      </w:r>
      <w:r>
        <w:rPr>
          <w:rFonts w:ascii="Calibri" w:hAnsi="Calibri" w:eastAsia="Calibri"/>
          <w:b w:val="0"/>
          <w:i/>
          <w:color w:val="000000"/>
          <w:sz w:val="24"/>
        </w:rPr>
        <w:t>Medical Bulletin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91.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Chen, Shiah Lian, Liang, Tienli, Lee, Mei Li, &amp; Liao, I. Chen. (2011). Effects of concept map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teaching on students’ critical thinking and approach to learning and studying.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</w:t>
      </w:r>
      <w:r>
        <w:rPr>
          <w:rFonts w:ascii="Calibri" w:hAnsi="Calibri" w:eastAsia="Calibri"/>
          <w:b w:val="0"/>
          <w:i/>
          <w:color w:val="000000"/>
          <w:sz w:val="24"/>
        </w:rPr>
        <w:t>of Nursing Education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(8), 466–469.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Chiang, Chih Huei, Huang, Chiu Mieh, Sheu, Jiunn Jye, Liao, Jung Yu, Hsu, Hsiao Pei, Wang,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Shih Wen, &amp; Guo, Jong Long. (2021). Examining the effectiveness of 3D virtual reality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training on problem-solving, self-efficacy, and teamwork among inexperienced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volunteers helping with drug use prevention: randomized 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</w:t>
      </w:r>
      <w:r>
        <w:rPr>
          <w:rFonts w:ascii="Calibri" w:hAnsi="Calibri" w:eastAsia="Calibri"/>
          <w:b w:val="0"/>
          <w:i/>
          <w:color w:val="000000"/>
          <w:sz w:val="24"/>
        </w:rPr>
        <w:t>Medical Internet 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(11), e29862.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Fariza, Adiba, &amp; Handayani, Baiq Lily. (2022). Tindakan Struktural Mitigasi Bencana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Pemerintah di Indonesia. </w:t>
      </w:r>
      <w:r>
        <w:rPr>
          <w:rFonts w:ascii="Calibri" w:hAnsi="Calibri" w:eastAsia="Calibri"/>
          <w:b w:val="0"/>
          <w:i/>
          <w:color w:val="000000"/>
          <w:sz w:val="24"/>
        </w:rPr>
        <w:t>Jurnal Analisa Sosiologi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Grogans, Shannon E., Bliss-Moreau, Eliza, Buss, Kristin A., Clark, Lee Anna, Fox, Andrew S.,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Keltner, Dacher, Cowen, Alan S., Kim, Jeansok J., Kragel, Philip A., &amp; MacLeod, Colin. </w:t>
      </w:r>
    </w:p>
    <w:p>
      <w:pPr>
        <w:autoSpaceDN w:val="0"/>
        <w:autoSpaceDE w:val="0"/>
        <w:widowControl/>
        <w:spacing w:line="245" w:lineRule="auto" w:before="54" w:after="0"/>
        <w:ind w:left="74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(2023). The nature and neurobiology of fear and anxiety: State of the science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opportunities for accelerating discovery. </w:t>
      </w:r>
      <w:r>
        <w:rPr>
          <w:rFonts w:ascii="Calibri" w:hAnsi="Calibri" w:eastAsia="Calibri"/>
          <w:b w:val="0"/>
          <w:i/>
          <w:color w:val="000000"/>
          <w:sz w:val="24"/>
        </w:rPr>
        <w:t>Neuroscience &amp; Biobehavioral Reviews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105237.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Gustiani, Rahayu Ulfa, Husin, Hasan, Afriyanto, Afriyanto, &amp; Angraini, Wulan. (2021). </w:t>
      </w:r>
    </w:p>
    <w:p>
      <w:pPr>
        <w:autoSpaceDN w:val="0"/>
        <w:autoSpaceDE w:val="0"/>
        <w:widowControl/>
        <w:spacing w:line="245" w:lineRule="auto" w:before="54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Kesiapsiagaan Badan Penanggulangan Bencana Daerah Terhadap Penanggulangan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Bencana Banjir di Kota Bengkulu. </w:t>
      </w:r>
      <w:r>
        <w:rPr>
          <w:rFonts w:ascii="Calibri" w:hAnsi="Calibri" w:eastAsia="Calibri"/>
          <w:b w:val="0"/>
          <w:i/>
          <w:color w:val="000000"/>
          <w:sz w:val="24"/>
        </w:rPr>
        <w:t>Jurnal Ilmiah Mahasiswa Miracle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39–46. </w:t>
      </w:r>
    </w:p>
    <w:p>
      <w:pPr>
        <w:autoSpaceDN w:val="0"/>
        <w:autoSpaceDE w:val="0"/>
        <w:widowControl/>
        <w:spacing w:line="197" w:lineRule="auto" w:before="52" w:after="2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Handayani, Sri Lestari, Budiarti, Iis Giri, Kusmajid, Kusmajid, &amp; Khairil, Khairil. (2021).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Problem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Based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Instruction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Berbantuan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E-Learning: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Pengaruhnya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terhadap 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144" w:right="20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Kemampuan Berpikir Kritis Peserta Didik Sekolah Dasar. </w:t>
      </w:r>
      <w:r>
        <w:rPr>
          <w:rFonts w:ascii="Calibri" w:hAnsi="Calibri" w:eastAsia="Calibri"/>
          <w:b w:val="0"/>
          <w:i/>
          <w:color w:val="000000"/>
          <w:sz w:val="24"/>
        </w:rPr>
        <w:t>Jurnal Basicedu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697–705.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Hardy, Amber, &amp; Calleja, Pauline. (2019). Triage education in rural remote settings: A scoping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Emergency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119–125.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Hasnah, Yenni, Ginting, Pirman, Supiatman, Lis, Kharisma, Adib J., &amp; Siahaan, Halimah S. </w:t>
      </w:r>
    </w:p>
    <w:p>
      <w:pPr>
        <w:autoSpaceDN w:val="0"/>
        <w:autoSpaceDE w:val="0"/>
        <w:widowControl/>
        <w:spacing w:line="245" w:lineRule="auto" w:before="52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(2024). How Do Locally Produced EFL Textbooks Endorse Critical Thinking Skills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Indonesia? A Content Analysis. </w:t>
      </w:r>
      <w:r>
        <w:rPr>
          <w:rFonts w:ascii="Calibri" w:hAnsi="Calibri" w:eastAsia="Calibri"/>
          <w:b w:val="0"/>
          <w:i/>
          <w:color w:val="000000"/>
          <w:sz w:val="24"/>
        </w:rPr>
        <w:t>Journal of Language Teaching and 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15</w:t>
      </w:r>
      <w:r>
        <w:rPr>
          <w:rFonts w:ascii="Calibri" w:hAnsi="Calibri" w:eastAsia="Calibri"/>
          <w:b w:val="0"/>
          <w:i w:val="0"/>
          <w:color w:val="000000"/>
          <w:sz w:val="24"/>
        </w:rPr>
        <w:t>(1), 190–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200.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Jamil, Nurul Mutmainnah, Bahar, Fauzi, &amp; Subiakto, Yuli. (2022). PERAN FISIOTERAPIS PADA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PENANGGULANGAN BENCANA DI INDONESIA DALAM MENDUKUNG KEAMANAN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NASIONAL: The Role of Physical Therapist in Disaster Management in Indonesia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 National Security. </w:t>
      </w:r>
      <w:r>
        <w:rPr>
          <w:rFonts w:ascii="Calibri" w:hAnsi="Calibri" w:eastAsia="Calibri"/>
          <w:b w:val="0"/>
          <w:i/>
          <w:color w:val="000000"/>
          <w:sz w:val="24"/>
        </w:rPr>
        <w:t>Jurnal Ilmiah Keperawatan (Scientific Journal of Nursing)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656–664.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Khambali, I., &amp; ST, MPPM. (2017). </w:t>
      </w:r>
      <w:r>
        <w:rPr>
          <w:rFonts w:ascii="Calibri" w:hAnsi="Calibri" w:eastAsia="Calibri"/>
          <w:b w:val="0"/>
          <w:i/>
          <w:color w:val="000000"/>
          <w:sz w:val="24"/>
        </w:rPr>
        <w:t>Manajemen penanggulangan bencana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Penerbit Andi.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Kim, Yae Ji, &amp; Lee, Seung Hoo. (2021). The relationships among quality of online education,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learning immersion, learning satisfaction, and academic achievement in cooking-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practice subject. </w:t>
      </w:r>
      <w:r>
        <w:rPr>
          <w:rFonts w:ascii="Calibri" w:hAnsi="Calibri" w:eastAsia="Calibri"/>
          <w:b w:val="0"/>
          <w:i/>
          <w:color w:val="000000"/>
          <w:sz w:val="24"/>
        </w:rPr>
        <w:t>Sustainability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(21), 12152.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Natarianto, Reditya, Agustina, Dwi Martha, &amp; Nursery, Septi Machelia C. (2018). </w:t>
      </w:r>
    </w:p>
    <w:p>
      <w:pPr>
        <w:autoSpaceDN w:val="0"/>
        <w:autoSpaceDE w:val="0"/>
        <w:widowControl/>
        <w:spacing w:line="197" w:lineRule="auto" w:before="54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Pengetahuan dan Persepsi Perawat Tentang Triage di Unit Gawat Darurat Rumah Sakit </w:t>
      </w:r>
    </w:p>
    <w:p>
      <w:pPr>
        <w:autoSpaceDN w:val="0"/>
        <w:tabs>
          <w:tab w:pos="8766" w:val="left"/>
        </w:tabs>
        <w:autoSpaceDE w:val="0"/>
        <w:widowControl/>
        <w:spacing w:line="197" w:lineRule="auto" w:before="90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326</w:t>
      </w:r>
    </w:p>
    <w:p>
      <w:pPr>
        <w:sectPr>
          <w:pgSz w:w="12240" w:h="15840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Rystika Angga 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Retno Lestari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Yati Sri Hayati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197" w:lineRule="auto" w:before="754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Umum Daerah. </w:t>
      </w:r>
      <w:r>
        <w:rPr>
          <w:rFonts w:ascii="Calibri" w:hAnsi="Calibri" w:eastAsia="Calibri"/>
          <w:b w:val="0"/>
          <w:i/>
          <w:color w:val="000000"/>
          <w:sz w:val="24"/>
        </w:rPr>
        <w:t>Jurnal Keperawatan Suaka Insan (JKSI)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1–7.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Paquay, Meryl, Chevalier, Sabrina, Sommer, Anja, Ledoux, Céline, Gontariuk, Marie, Beckers,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Stefan K., Van Der Auwermeulen, Loth, Krafft, Thomas, &amp; Ghuysen, Alexandre. (2021). </w:t>
      </w:r>
    </w:p>
    <w:p>
      <w:pPr>
        <w:autoSpaceDN w:val="0"/>
        <w:autoSpaceDE w:val="0"/>
        <w:widowControl/>
        <w:spacing w:line="245" w:lineRule="auto" w:before="52" w:after="0"/>
        <w:ind w:left="742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management training in the euregio-meuse-rhine: What can we learn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other to improve cross-border practices?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Disaster Risk </w:t>
      </w:r>
      <w:r>
        <w:rPr>
          <w:rFonts w:ascii="Calibri" w:hAnsi="Calibri" w:eastAsia="Calibri"/>
          <w:b w:val="0"/>
          <w:i/>
          <w:color w:val="000000"/>
          <w:sz w:val="24"/>
        </w:rPr>
        <w:t>Reduction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102134.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Rahayu, Riska, Azzahra, Adelia, Handoko, Hendri, Muslihudin, Muslihudin, &amp; Saebah, Nur. </w:t>
      </w:r>
    </w:p>
    <w:p>
      <w:pPr>
        <w:autoSpaceDN w:val="0"/>
        <w:autoSpaceDE w:val="0"/>
        <w:widowControl/>
        <w:spacing w:line="245" w:lineRule="auto" w:before="54" w:after="0"/>
        <w:ind w:left="74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(2023). The Effect of the Application of the Make-a-Match Model on the Ability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 Mathematical Concepts and Student Learning Activity.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</w:t>
      </w:r>
      <w:r>
        <w:rPr>
          <w:rFonts w:ascii="Calibri" w:hAnsi="Calibri" w:eastAsia="Calibri"/>
          <w:b w:val="0"/>
          <w:i/>
          <w:color w:val="000000"/>
          <w:sz w:val="24"/>
        </w:rPr>
        <w:t>Journal of Social Service and 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(8), 2101–2111. </w:t>
      </w:r>
    </w:p>
    <w:p>
      <w:pPr>
        <w:autoSpaceDN w:val="0"/>
        <w:autoSpaceDE w:val="0"/>
        <w:widowControl/>
        <w:spacing w:line="245" w:lineRule="auto" w:before="52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Rahmawati, Novi Rosita, Rosida, Fatimatul Eva, &amp; Kholidin, Farid Imam. (2020). Analisis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pembelajaran daring saat pandemi di Madrasah Ibtidaiyah.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SITTAH: Journal of Primary </w:t>
      </w:r>
      <w:r>
        <w:rPr>
          <w:rFonts w:ascii="Calibri" w:hAnsi="Calibri" w:eastAsia="Calibri"/>
          <w:b w:val="0"/>
          <w:i/>
          <w:color w:val="000000"/>
          <w:sz w:val="24"/>
        </w:rPr>
        <w:t>Education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139–148. </w:t>
      </w:r>
    </w:p>
    <w:p>
      <w:pPr>
        <w:autoSpaceDN w:val="0"/>
        <w:autoSpaceDE w:val="0"/>
        <w:widowControl/>
        <w:spacing w:line="245" w:lineRule="auto" w:before="54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Redhana, I. Wayan, Karyasa, I. Wayan, &amp; Atrisa, Ni Putu Fitria. (2017). Development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critical thinking disposition inventory.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2nd International Conference on Innovative </w:t>
      </w:r>
      <w:r>
        <w:rPr>
          <w:rFonts w:ascii="Calibri" w:hAnsi="Calibri" w:eastAsia="Calibri"/>
          <w:b w:val="0"/>
          <w:i/>
          <w:color w:val="000000"/>
          <w:sz w:val="24"/>
        </w:rPr>
        <w:t>Research Across Disciplines (ICIRAD 2017)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195–198. Atlantis Press.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Rofifah, Rana, Rochana, Nana, Setyawan, Dody, &amp; Santoso, Agus. (2019).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Hubungan Antara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Penegtahuan Dengan Kesiapsiagaan Bencana Pada Mahasiswa Keperawatan </w:t>
      </w:r>
      <w:r>
        <w:rPr>
          <w:rFonts w:ascii="Calibri" w:hAnsi="Calibri" w:eastAsia="Calibri"/>
          <w:b w:val="0"/>
          <w:i/>
          <w:color w:val="000000"/>
          <w:sz w:val="24"/>
        </w:rPr>
        <w:t>Universitas Diponegoro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Faculty of Medicine.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Syaznas, Diba Nabilla, &amp; Jannah, Noraliyatun. (2022). GAMBARAN KEMAMPUAN BERPIKIR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KRITIS MAHASISWA KEPERAWATAN DALAM MELAKSANAKAN METODE PROBLEM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LEARNING (PBL). </w:t>
      </w:r>
      <w:r>
        <w:rPr>
          <w:rFonts w:ascii="Calibri" w:hAnsi="Calibri" w:eastAsia="Calibri"/>
          <w:b w:val="0"/>
          <w:i/>
          <w:color w:val="000000"/>
          <w:sz w:val="24"/>
        </w:rPr>
        <w:t>Jurnal Ilmiah Mahasiswa Fakultas Keperawatan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Yasmini, I. Gusti Ketut. (2021). Penerapan model pembelajaran Problem Based Learning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untuk meningkatkan motivasi belajar IPA. </w:t>
      </w:r>
      <w:r>
        <w:rPr>
          <w:rFonts w:ascii="Calibri" w:hAnsi="Calibri" w:eastAsia="Calibri"/>
          <w:b w:val="0"/>
          <w:i/>
          <w:color w:val="000000"/>
          <w:sz w:val="24"/>
        </w:rPr>
        <w:t>Journal of Education Action 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159–164. </w:t>
      </w:r>
    </w:p>
    <w:p>
      <w:pPr>
        <w:autoSpaceDN w:val="0"/>
        <w:autoSpaceDE w:val="0"/>
        <w:widowControl/>
        <w:spacing w:line="197" w:lineRule="auto" w:before="68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199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Rystika Angga Sari</w:t>
      </w:r>
      <w:r>
        <w:rPr>
          <w:rFonts w:ascii="Calibri" w:hAnsi="Calibri" w:eastAsia="Calibri"/>
          <w:b w:val="0"/>
          <w:i w:val="0"/>
          <w:color w:val="000000"/>
          <w:sz w:val="14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, Retno Lestari</w:t>
      </w:r>
      <w:r>
        <w:rPr>
          <w:rFonts w:ascii="Calibri" w:hAnsi="Calibri" w:eastAsia="Calibri"/>
          <w:b w:val="0"/>
          <w:i w:val="0"/>
          <w:color w:val="000000"/>
          <w:sz w:val="14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>, Yati Sri Hayati</w:t>
      </w:r>
      <w:r>
        <w:rPr>
          <w:rFonts w:ascii="Calibri" w:hAnsi="Calibri" w:eastAsia="Calibri"/>
          <w:b w:val="0"/>
          <w:i w:val="0"/>
          <w:color w:val="000000"/>
          <w:sz w:val="1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197" w:lineRule="auto" w:before="43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434" w:after="0"/>
        <w:ind w:left="0" w:right="308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6" w:after="50"/>
        <w:ind w:left="0" w:right="39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0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2026"/>
        </w:trPr>
        <w:tc>
          <w:tcPr>
            <w:tcW w:type="dxa" w:w="9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5, May 2024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40" w:bottom="5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ystikaangga61@gmail.com" TargetMode="External"/><Relationship Id="rId11" Type="http://schemas.openxmlformats.org/officeDocument/2006/relationships/hyperlink" Target="mailto:retno.lestari.fk@ub.ac.id" TargetMode="External"/><Relationship Id="rId12" Type="http://schemas.openxmlformats.org/officeDocument/2006/relationships/hyperlink" Target="mailto:yshayati.fk@ub.ac.id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