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sectPr>
          <w:pgSz w:w="11906" w:h="16841"/>
          <w:pgMar w:top="802" w:right="1440" w:bottom="494" w:left="1440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16150" cy="533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41"/>
          <w:pgMar w:top="802" w:right="1440" w:bottom="494" w:left="1440" w:header="720" w:footer="720" w:gutter="0"/>
          <w:cols w:num="2" w:equalWidth="0">
            <w:col w:w="4668" w:space="0"/>
            <w:col w:w="43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346"/>
        <w:ind w:left="862" w:right="144" w:firstLine="738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Volume 5, No. 4 April, 2024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 ISSN 2723-6927-e ISSN 2723-4339 </w:t>
      </w:r>
    </w:p>
    <w:p>
      <w:pPr>
        <w:sectPr>
          <w:type w:val="nextColumn"/>
          <w:pgSz w:w="11906" w:h="16841"/>
          <w:pgMar w:top="802" w:right="1440" w:bottom="494" w:left="1440" w:header="720" w:footer="720" w:gutter="0"/>
          <w:cols w:num="2" w:equalWidth="0">
            <w:col w:w="4668" w:space="0"/>
            <w:col w:w="435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32" w:right="43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Empowering Cadres In Preparing The Community To Face The New Normal Era In 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Jabungan Banyumanik Village, Semarang City </w:t>
      </w:r>
    </w:p>
    <w:p>
      <w:pPr>
        <w:autoSpaceDN w:val="0"/>
        <w:autoSpaceDE w:val="0"/>
        <w:widowControl/>
        <w:spacing w:line="245" w:lineRule="auto" w:before="324" w:after="0"/>
        <w:ind w:left="720" w:right="72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>Eliyah</w:t>
      </w:r>
      <w:r>
        <w:rPr>
          <w:rFonts w:ascii="Calibri" w:hAnsi="Calibri" w:eastAsia="Calibri"/>
          <w:b/>
          <w:i w:val="0"/>
          <w:color w:val="000000"/>
          <w:sz w:val="16"/>
        </w:rPr>
        <w:t>1</w:t>
      </w:r>
      <w:r>
        <w:rPr>
          <w:rFonts w:ascii="Calibri" w:hAnsi="Calibri" w:eastAsia="Calibri"/>
          <w:b/>
          <w:i w:val="0"/>
          <w:color w:val="000000"/>
          <w:sz w:val="24"/>
        </w:rPr>
        <w:t>, Setya Wijayanta</w:t>
      </w:r>
      <w:r>
        <w:rPr>
          <w:rFonts w:ascii="Calibri" w:hAnsi="Calibri" w:eastAsia="Calibri"/>
          <w:b/>
          <w:i w:val="0"/>
          <w:color w:val="000000"/>
          <w:sz w:val="16"/>
        </w:rPr>
        <w:t>2</w:t>
      </w:r>
      <w:r>
        <w:rPr>
          <w:rFonts w:ascii="Calibri" w:hAnsi="Calibri" w:eastAsia="Calibri"/>
          <w:b/>
          <w:i w:val="0"/>
          <w:color w:val="000000"/>
          <w:sz w:val="24"/>
        </w:rPr>
        <w:t>, Niken Aulia Putri</w:t>
      </w:r>
      <w:r>
        <w:rPr>
          <w:rFonts w:ascii="Calibri" w:hAnsi="Calibri" w:eastAsia="Calibri"/>
          <w:b/>
          <w:i w:val="0"/>
          <w:color w:val="000000"/>
          <w:sz w:val="16"/>
        </w:rPr>
        <w:t xml:space="preserve">3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16"/>
        </w:rPr>
        <w:t>1,2,3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Polytechnic Ministry of Health Semarang, Central Java, Indonesia </w:t>
      </w:r>
      <w:r>
        <w:rPr>
          <w:rFonts w:ascii="Calibri" w:hAnsi="Calibri" w:eastAsia="Calibri"/>
          <w:b w:val="0"/>
          <w:i w:val="0"/>
          <w:color w:val="000000"/>
          <w:sz w:val="24"/>
        </w:rPr>
        <w:t>Email: Ele1975@gmail.com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Sethyavijayanta@Poltex-smg.ac.id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putrinikenoulia@gmail.com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16"/>
        </w:rPr>
        <w:hyperlink r:id="rId10" w:history="1">
          <w:r>
            <w:rPr>
              <w:rStyle w:val="Hyperlink"/>
            </w:rPr>
            <w:t>3</w:t>
          </w:r>
        </w:hyperlink>
      </w:r>
    </w:p>
    <w:p>
      <w:pPr>
        <w:autoSpaceDN w:val="0"/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ABSTRACT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Special attention to health issues is still the main focus of the government in Indonesia.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Some health aspects that are of concern include health degrees, cross-sectoral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cooperation, health development policies, health development financing systems,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quality of health facilities, health workers, and health supplies (Suparyanto, 2010). These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problems can affect the general public as well as certain groups such as infants,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toddlers, pregnant women, the elderly, and workers. The purpose of this study is to run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Tri Darma of higher education by implementing community service activities,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especially in the form of preparing health cadres to face the New Normal Era in Jabungan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Banyumanik Village, Semarang City. The implementation method includes a preparatory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stage that involves coordinating with health cadres, identifying participants, compiling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materials, and carrying out activities using lectures, demonstrations, and discussion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methods. Evaluation is carried out through pretest and posttest to measure the increase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cadre knowledge. Findings from the study showed that there was an increase in cadre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knowledge by 15%. The impact of this research is improving the quality of health cadres,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public understanding of the New Normal Era, and strengthening cooperation between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universities and the community. Therefore, increasing the knowledge and skills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cadres, as well as community understanding, is expected to have a positive impact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services and preparation for new situations. </w:t>
      </w:r>
    </w:p>
    <w:p>
      <w:pPr>
        <w:autoSpaceDN w:val="0"/>
        <w:autoSpaceDE w:val="0"/>
        <w:widowControl/>
        <w:spacing w:line="245" w:lineRule="auto" w:before="350" w:after="0"/>
        <w:ind w:left="262" w:right="144" w:firstLine="0"/>
        <w:jc w:val="left"/>
      </w:pPr>
      <w:r>
        <w:rPr>
          <w:rFonts w:ascii="Calibri" w:hAnsi="Calibri" w:eastAsia="Calibri"/>
          <w:b w:val="0"/>
          <w:i/>
          <w:color w:val="000000"/>
          <w:sz w:val="24"/>
        </w:rPr>
        <w:t>Keywords: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Quality of health cadres, Community knowledge, Tri Darma of higher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education </w:t>
      </w:r>
    </w:p>
    <w:p>
      <w:pPr>
        <w:autoSpaceDN w:val="0"/>
        <w:tabs>
          <w:tab w:pos="330" w:val="left"/>
          <w:tab w:pos="896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INTRODUCTION </w:t>
      </w:r>
      <w:r>
        <w:br/>
      </w:r>
      <w:r>
        <w:tab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Special attention to health issues is still the main focus of the government in </w:t>
      </w:r>
      <w:r>
        <w:rPr>
          <w:rFonts w:ascii="Calibri" w:hAnsi="Calibri" w:eastAsia="Calibri"/>
          <w:b w:val="0"/>
          <w:i w:val="0"/>
          <w:color w:val="000000"/>
          <w:sz w:val="24"/>
        </w:rPr>
        <w:t>Indonesia. Some health aspects that are of concern include health degrees, cross-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sectoral cooperation, health development policies, health development financing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systems, quality of health facilities, health workers, and health supplies (Afriyanti,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2020). These health problems can affect the general public as well as certain groups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such as infants, toddlers, pregnant women, the elderly, and workers. </w:t>
      </w:r>
    </w:p>
    <w:p>
      <w:pPr>
        <w:autoSpaceDN w:val="0"/>
        <w:autoSpaceDE w:val="0"/>
        <w:widowControl/>
        <w:spacing w:line="245" w:lineRule="auto" w:before="54" w:after="0"/>
        <w:ind w:left="330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2020, the emergence of the Covid-19 pandemic outbreak has brought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significant negative impacts on various aspects of life. This pandemic first appeared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Wuhan, China, and then spread throughout the world, including Indonesia. The impact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the coronavirus is not only limited to health problems, but also causes major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disruptions in economic sectors.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504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206 </w:t>
      </w:r>
    </w:p>
    <w:p>
      <w:pPr>
        <w:sectPr>
          <w:type w:val="continuous"/>
          <w:pgSz w:w="11906" w:h="16841"/>
          <w:pgMar w:top="802" w:right="1440" w:bottom="4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Eliyah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Setya Wijayanta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Niken Aulia Putri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54" w:after="0"/>
        <w:ind w:left="330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On March 15, 2020, President Joko Widodo gave a press statement at Bogor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Palace, West Java, regarding the Covid-19 corona outbreak. In his statement, President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Joko Widodo introduced the concept of social distancing which requires people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maintain social distance, work, study, and worship from home. This recommendation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aims to minimize the spread of the coronavirus and has resulted in a decrease in social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economic activities of the community because the policy restricts activities in public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places. </w:t>
      </w:r>
    </w:p>
    <w:p>
      <w:pPr>
        <w:autoSpaceDN w:val="0"/>
        <w:autoSpaceDE w:val="0"/>
        <w:widowControl/>
        <w:spacing w:line="245" w:lineRule="auto" w:before="54" w:after="0"/>
        <w:ind w:left="330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Some companies have implemented work-from-home policies, while others have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opted to lay off employees, even conducting mass layoffs. The consequences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wave of layoffs and the reduction in the number of workers have led to a significant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decrease in production capacity. The psychological impact of this situation, without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realizing it, can interfere with the mental well-being of the individual. Two key concepts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domain of environmental health need to be understood uniformly by all health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practitioners involved in order for the efforts made to succeed optimally. Environment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is defined as a collection of physical, social, cultural, economic, and political aspects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affect the life of a community. </w:t>
      </w:r>
    </w:p>
    <w:p>
      <w:pPr>
        <w:autoSpaceDN w:val="0"/>
        <w:autoSpaceDE w:val="0"/>
        <w:widowControl/>
        <w:spacing w:line="245" w:lineRule="auto" w:before="54" w:after="0"/>
        <w:ind w:left="330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Meanwhile, community health depends on the integrity of the physical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environment, humanitarian principles in social interaction, availability of resources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essential for survival and disease prevention, the ability to cope with health problems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 reasonable way, as well as facilitation in achieving work and education,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preservation of cultural heritage, and acceptance of gender diversity, accessibility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across generations, and feelings of control and hope. Health-supportive behaviors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include the application of proactive knowledge, attitudes, and measures to maintain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and prevent disease risk, protect oneself from health threats, and actively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participate in Public Health initiatives. </w:t>
      </w:r>
    </w:p>
    <w:p>
      <w:pPr>
        <w:autoSpaceDN w:val="0"/>
        <w:autoSpaceDE w:val="0"/>
        <w:widowControl/>
        <w:spacing w:line="245" w:lineRule="auto" w:before="56" w:after="0"/>
        <w:ind w:left="330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mentality approach to the challenges faced has major implications for one's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well-being. In the context of the COVID-19 pandemic, community service activities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present an educational forum where lecturers and students are able to present insights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while training students' abilities in a greater capacity. This is done by being directly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involved in actions to help communities in directly affected areas, in efforts to prevent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break the chain of the spread of COVID-19 while strengthening food security in local </w:t>
      </w:r>
      <w:r>
        <w:rPr>
          <w:rFonts w:ascii="Calibri" w:hAnsi="Calibri" w:eastAsia="Calibri"/>
          <w:b w:val="0"/>
          <w:i w:val="0"/>
          <w:color w:val="000000"/>
          <w:sz w:val="24"/>
        </w:rPr>
        <w:t>communities to ensure preparedness and resilient response to the threat of the COVID-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19 pandemic. </w:t>
      </w:r>
    </w:p>
    <w:p>
      <w:pPr>
        <w:autoSpaceDN w:val="0"/>
        <w:autoSpaceDE w:val="0"/>
        <w:widowControl/>
        <w:spacing w:line="245" w:lineRule="auto" w:before="52" w:after="0"/>
        <w:ind w:left="330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Students, along with community members, village officials, and especially health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cadres, are directly involved in efforts to spread knowledge about COVID-19, make it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aware of its dangers, and educate on how to prevent its transmission. They also seek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break the chain of spread of COVID-19, promote understanding of interaction protocols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during the pandemic, and raise public awareness to comply with guidelines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directives from the government. Health cadres are also active in strengthening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economic, food, social, educational, and cultural security of the community, as well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optimizing human and natural resources available in the village to become a resilient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community facing the COVID-19 outbreak and remain independent in the midst of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pandemic situation. All these actions aim to improve the positive mindset of individuals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the face of the impact caused by the Covid-19 pandemic.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104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207 </w:t>
      </w:r>
    </w:p>
    <w:p>
      <w:pPr>
        <w:sectPr>
          <w:pgSz w:w="11906" w:h="16841"/>
          <w:pgMar w:top="368" w:right="1440" w:bottom="4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632" w:right="144" w:hanging="476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Empowering cadres in preparing the community to face the new normal era in Jabungan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Banyumanik Village, Semarang City </w:t>
      </w:r>
    </w:p>
    <w:p>
      <w:pPr>
        <w:autoSpaceDN w:val="0"/>
        <w:autoSpaceDE w:val="0"/>
        <w:widowControl/>
        <w:spacing w:line="245" w:lineRule="auto" w:before="510" w:after="0"/>
        <w:ind w:left="330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focus on handling the COVID-19 pandemic has diverted people's attention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the psychosocial aspect, which is the individual impact that may be faced due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pandemic situation. Mental health issues arising as a consequence of the COVID-19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pandemic have the potential to become ongoing problems and can pose a heavy social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burden. It is stated that the public health emergency status established by global health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agencies, followed by the enactment of social distancing policies, self-isolation, 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quarantine, as well as reduced public mobility, can have a long-term impact on people's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mental health ((Gao &amp; Sai, 2020); (Amin, Griffiths, &amp; Dsouza, 2020); (Spoorthy, Pratapa,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&amp; Mahant, 2020)). </w:t>
      </w:r>
    </w:p>
    <w:p>
      <w:pPr>
        <w:autoSpaceDN w:val="0"/>
        <w:autoSpaceDE w:val="0"/>
        <w:widowControl/>
        <w:spacing w:line="245" w:lineRule="auto" w:before="54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Despite volunteering, mobilizers of these health activities often face various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challenges, such as degrading treatment or negative perceptions from the community.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facing these challenges, a cadre must maintain an attitude of professionalism and still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provide optimal service, separate from personal emotional feelings. Increasing the role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health cadres in improving health services is one of the strategies in supporting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citizens in maintaining their health, especially those who may experience psychological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impacts due to the COVID-19 pandemic.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development of superior cultural services in health cadres aims to prepare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them to be willing and able to be actively involved in developing health programs in their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environment. Based on field data, it can be seen that the knowledge and skills of cadres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carrying out their duties still do not meet expectations. This is reflected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implementation of posyandu activities that tend to be monotonous and undeveloped,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which in turn will have an impact on the effectiveness of the standby village program. </w:t>
      </w:r>
    </w:p>
    <w:p>
      <w:pPr>
        <w:autoSpaceDN w:val="0"/>
        <w:autoSpaceDE w:val="0"/>
        <w:widowControl/>
        <w:spacing w:line="245" w:lineRule="auto" w:before="52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So far, posyandu cadres have played more of a role as implementers of activities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than as posyandu managers, which should include planning and organizing activities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on their deep understanding of the needs of the community in their area.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However, in reality, many posyandu cadres are no longer active or their numbers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very lacking, and their level of knowledge, attitudes, and skills is far from adequate.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fact, some of them have not followed new developments related to posyandu activities,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or even do not understand the latest changes in conditions and policies related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posyandu management. </w:t>
      </w:r>
    </w:p>
    <w:p>
      <w:pPr>
        <w:autoSpaceDN w:val="0"/>
        <w:autoSpaceDE w:val="0"/>
        <w:widowControl/>
        <w:spacing w:line="245" w:lineRule="auto" w:before="54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Given this situation, a Cadre Empowerment program is needed in Community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Preparation to Face the New Norm Era in the Assisted Village of Jabungan Banyumanik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Village, Semarang City. Each RW will be assigned one health cadre, and considering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Jabungan Banyumanik Village in Semarang City has a total of 30 RWs, there will be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30 health cadres involved in this program. </w:t>
      </w:r>
    </w:p>
    <w:p>
      <w:pPr>
        <w:autoSpaceDN w:val="0"/>
        <w:autoSpaceDE w:val="0"/>
        <w:widowControl/>
        <w:spacing w:line="245" w:lineRule="auto" w:before="52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From this description, it can be seen that people's attitudes have a significant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impact on how they overcome the challenges arising from the current pandemic.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Therefore, assistance from cadres or health teams is needed to provide a better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understanding of the current situation. This shows the importance of increasing cadre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empowerment in preparing the community to face the New Norma era.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purpose of this study is to actualize the commitment of Tri Darma of higher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education through the implementation of community service activities, especially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preparing health cadres to face the New Normal Era in Jabungan Banyumanik Village,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Semarang City. In addition, this study also aims to contribute from the Department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Medical Records &amp;; Health Information Poltekkes Kemenkes Semarang to assisted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75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208</w:t>
      </w:r>
    </w:p>
    <w:p>
      <w:pPr>
        <w:sectPr>
          <w:pgSz w:w="11906" w:h="16841"/>
          <w:pgMar w:top="376" w:right="1440" w:bottom="4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Eliyah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Setya Wijayanta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Niken Aulia Putri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54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villages as partners in the implementation of education. Thus, it is hoped that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research will have a positive impact in increasing the capacity of health cadres,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educating the public about UPPM programs, and strengthening mutually beneficial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cooperation between universities and the community. </w:t>
      </w:r>
    </w:p>
    <w:p>
      <w:pPr>
        <w:autoSpaceDN w:val="0"/>
        <w:tabs>
          <w:tab w:pos="828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RESEARCH METHODS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methods applied in this community service activity, employing participatory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descriptive approaches, aim to empower health cadres and facilitate community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preparation for the New Normal era in the assisted villages of Jabungan Banyumanik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Village, Semarang City. The research relies on data from various sources, including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training participants, health cadres, and village stakeholders. The study targets all health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cadres and communities in the selected villages, with the sample consisting of trainees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who actively engage in the activity. Techniques utilized encompass observation,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interviews, and documentation for data collection. Observations offer insights into field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conditions and the direct implementation process, while interviews directly gather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information on participants' perceptions and understandings regarding community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readiness for the New Normal era. Documentation is utilized to record and perpetuate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training process and subsequent activities.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Furthermore, the data analysis method employs descriptive analysis, which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involves elaborating and reviewing data from observations, interviews,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documentation. Collected data are meticulously organized and analyzed to achieve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comprehensive understanding of activity implementation and participants' perceptions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related to community preparation for the New Normal era. </w:t>
      </w:r>
    </w:p>
    <w:p>
      <w:pPr>
        <w:autoSpaceDN w:val="0"/>
        <w:autoSpaceDE w:val="0"/>
        <w:widowControl/>
        <w:spacing w:line="245" w:lineRule="auto" w:before="54" w:after="0"/>
        <w:ind w:left="262" w:right="210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Acknowledging potential limitations in obtaining representative data, subjectivity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data interpretation, and potential errors in data collection, efforts are made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address these concerns through diverse participant inclusion, transparent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methodologies, and rigorous validation procedures. Additionally, while recognizing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challenge of making generalizations due to contextual specificity, findings are cautiously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discussed within the studied communities' context to avoid unwarranted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extrapolations. </w:t>
      </w:r>
    </w:p>
    <w:p>
      <w:pPr>
        <w:autoSpaceDN w:val="0"/>
        <w:autoSpaceDE w:val="0"/>
        <w:widowControl/>
        <w:spacing w:line="245" w:lineRule="auto" w:before="54" w:after="0"/>
        <w:ind w:left="262" w:right="206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Lastly, evaluation occurs both pre- and post-material provision to assess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effectiveness of training and participants' understanding. Measures are implemented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mitigate potential bias in evaluation, such as ensuring anonymity, involving diverse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evaluators, and establishing clear evaluation criteria. The results of the evaluation serve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as the foundation for developing follow-up plans and evaluations aimed at enhancing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quality of future activities while maintaining fairness and objectivity. </w:t>
      </w:r>
    </w:p>
    <w:p>
      <w:pPr>
        <w:autoSpaceDN w:val="0"/>
        <w:tabs>
          <w:tab w:pos="830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RESULTS AND DISCUSSION </w:t>
      </w:r>
      <w:r>
        <w:br/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Evaluation of Increased Cadre Understanding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Each cadre has five different roles, namely: 1) Coach, tasked with helping identify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obstacles faced, both inside and outside the work or life environment, evaluating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positive and negative sides, and finding possible solutions; 2) Motivators, seeking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provide support and strengthen psychological interactions between the attitudes,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needs, perceptions, and needs of individuals, families, and communities before they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take action; 3) Facilitator, serves as a tool to provide assistance to the subjects under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75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209 </w:t>
      </w:r>
    </w:p>
    <w:p>
      <w:pPr>
        <w:sectPr>
          <w:pgSz w:w="11906" w:h="16841"/>
          <w:pgMar w:top="368" w:right="1440" w:bottom="4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632" w:right="144" w:hanging="476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Empowering cadres in preparing the community to face the new normal era in Jabungan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Banyumanik Village, Semarang City </w:t>
      </w:r>
    </w:p>
    <w:p>
      <w:pPr>
        <w:autoSpaceDN w:val="0"/>
        <w:autoSpaceDE w:val="0"/>
        <w:widowControl/>
        <w:spacing w:line="245" w:lineRule="auto" w:before="510" w:after="0"/>
        <w:ind w:left="262" w:right="204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study in order for them to receive adequate services; 4) Catalyst, aiming to encourage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changes to the problem under study in order to achieve the desired result; 5) Planners,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tasked with formulating goals, needs, and targets to be achieved, as well as planning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implementation of social welfare services effectively and efficiently (Setianingrum,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Desmawati, &amp; Yusuf, 2017).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cadres' knowledge of the new norm era will be evaluated before they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receive training materials, known as pre-tests. The aim is to assess the understanding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cadres about the daily behaviors needed in carrying out their duties in the new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 era after the Covid-19 pandemic. </w:t>
      </w:r>
    </w:p>
    <w:p>
      <w:pPr>
        <w:autoSpaceDN w:val="0"/>
        <w:autoSpaceDE w:val="0"/>
        <w:widowControl/>
        <w:spacing w:line="197" w:lineRule="auto" w:before="54" w:after="10"/>
        <w:ind w:left="0" w:right="0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Table 1. Results of Evaluation and Improvement of Cadre Understanding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1805"/>
        <w:gridCol w:w="1805"/>
        <w:gridCol w:w="1805"/>
        <w:gridCol w:w="1805"/>
        <w:gridCol w:w="1805"/>
      </w:tblGrid>
      <w:tr>
        <w:trPr>
          <w:trHeight w:hRule="exact" w:val="304"/>
        </w:trPr>
        <w:tc>
          <w:tcPr>
            <w:tcW w:type="dxa" w:w="622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NO </w:t>
            </w:r>
          </w:p>
        </w:tc>
        <w:tc>
          <w:tcPr>
            <w:tcW w:type="dxa" w:w="4186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088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Yield (%) </w:t>
            </w:r>
          </w:p>
        </w:tc>
        <w:tc>
          <w:tcPr>
            <w:tcW w:type="dxa" w:w="109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20"/>
            <w:tcBorders>
              <w:top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Increase (%) </w:t>
            </w:r>
          </w:p>
        </w:tc>
      </w:tr>
      <w:tr>
        <w:trPr>
          <w:trHeight w:hRule="exact" w:val="300"/>
        </w:trPr>
        <w:tc>
          <w:tcPr>
            <w:tcW w:type="dxa" w:w="62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Evaluation Material </w:t>
            </w:r>
          </w:p>
        </w:tc>
        <w:tc>
          <w:tcPr>
            <w:tcW w:type="dxa" w:w="10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Pretest </w:t>
            </w:r>
          </w:p>
        </w:tc>
        <w:tc>
          <w:tcPr>
            <w:tcW w:type="dxa" w:w="109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Postest </w:t>
            </w:r>
          </w:p>
        </w:tc>
        <w:tc>
          <w:tcPr>
            <w:tcW w:type="dxa" w:w="15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04"/>
        </w:trPr>
        <w:tc>
          <w:tcPr>
            <w:tcW w:type="dxa" w:w="62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The role of cadres as motivators </w:t>
            </w:r>
          </w:p>
        </w:tc>
        <w:tc>
          <w:tcPr>
            <w:tcW w:type="dxa" w:w="10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33,3 </w:t>
            </w:r>
          </w:p>
        </w:tc>
        <w:tc>
          <w:tcPr>
            <w:tcW w:type="dxa" w:w="109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44,75 </w:t>
            </w:r>
          </w:p>
        </w:tc>
        <w:tc>
          <w:tcPr>
            <w:tcW w:type="dxa" w:w="15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11,45 </w:t>
            </w:r>
          </w:p>
        </w:tc>
      </w:tr>
      <w:tr>
        <w:trPr>
          <w:trHeight w:hRule="exact" w:val="304"/>
        </w:trPr>
        <w:tc>
          <w:tcPr>
            <w:tcW w:type="dxa" w:w="62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0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The role of cadres as facilitators </w:t>
            </w:r>
          </w:p>
        </w:tc>
        <w:tc>
          <w:tcPr>
            <w:tcW w:type="dxa" w:w="10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16,7 </w:t>
            </w:r>
          </w:p>
        </w:tc>
        <w:tc>
          <w:tcPr>
            <w:tcW w:type="dxa" w:w="109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15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33,3 </w:t>
            </w:r>
          </w:p>
        </w:tc>
      </w:tr>
      <w:tr>
        <w:trPr>
          <w:trHeight w:hRule="exact" w:val="318"/>
        </w:trPr>
        <w:tc>
          <w:tcPr>
            <w:tcW w:type="dxa" w:w="62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18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Examples of the role of cadres as </w:t>
            </w:r>
          </w:p>
        </w:tc>
        <w:tc>
          <w:tcPr>
            <w:tcW w:type="dxa" w:w="108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72,2 </w:t>
            </w:r>
          </w:p>
        </w:tc>
        <w:tc>
          <w:tcPr>
            <w:tcW w:type="dxa" w:w="109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81.25 </w:t>
            </w:r>
          </w:p>
        </w:tc>
        <w:tc>
          <w:tcPr>
            <w:tcW w:type="dxa" w:w="15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9,05 </w:t>
            </w:r>
          </w:p>
        </w:tc>
      </w:tr>
    </w:tbl>
    <w:p>
      <w:pPr>
        <w:autoSpaceDN w:val="0"/>
        <w:autoSpaceDE w:val="0"/>
        <w:widowControl/>
        <w:spacing w:line="197" w:lineRule="auto" w:before="24" w:after="4"/>
        <w:ind w:left="9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promoters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2256"/>
        <w:gridCol w:w="2256"/>
        <w:gridCol w:w="2256"/>
        <w:gridCol w:w="2256"/>
      </w:tblGrid>
      <w:tr>
        <w:trPr>
          <w:trHeight w:hRule="exact" w:val="300"/>
        </w:trPr>
        <w:tc>
          <w:tcPr>
            <w:tcW w:type="dxa" w:w="48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7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Era new normal </w:t>
            </w:r>
          </w:p>
        </w:tc>
        <w:tc>
          <w:tcPr>
            <w:tcW w:type="dxa" w:w="10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66,7 </w:t>
            </w:r>
          </w:p>
        </w:tc>
        <w:tc>
          <w:tcPr>
            <w:tcW w:type="dxa" w:w="94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81.25 </w:t>
            </w:r>
          </w:p>
        </w:tc>
        <w:tc>
          <w:tcPr>
            <w:tcW w:type="dxa" w:w="16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14,55 </w:t>
            </w:r>
          </w:p>
        </w:tc>
      </w:tr>
      <w:tr>
        <w:trPr>
          <w:trHeight w:hRule="exact" w:val="322"/>
        </w:trPr>
        <w:tc>
          <w:tcPr>
            <w:tcW w:type="dxa" w:w="480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72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Examples of behavior in the new normal </w:t>
            </w:r>
          </w:p>
        </w:tc>
        <w:tc>
          <w:tcPr>
            <w:tcW w:type="dxa" w:w="108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94,4 </w:t>
            </w:r>
          </w:p>
        </w:tc>
        <w:tc>
          <w:tcPr>
            <w:tcW w:type="dxa" w:w="94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166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0" w:after="0"/>
              <w:ind w:left="2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5,6 </w:t>
            </w:r>
          </w:p>
        </w:tc>
      </w:tr>
    </w:tbl>
    <w:p>
      <w:pPr>
        <w:autoSpaceDN w:val="0"/>
        <w:autoSpaceDE w:val="0"/>
        <w:widowControl/>
        <w:spacing w:line="197" w:lineRule="auto" w:before="22" w:after="6"/>
        <w:ind w:left="99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era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1.9999999999999" w:type="dxa"/>
      </w:tblPr>
      <w:tblGrid>
        <w:gridCol w:w="2256"/>
        <w:gridCol w:w="2256"/>
        <w:gridCol w:w="2256"/>
        <w:gridCol w:w="2256"/>
      </w:tblGrid>
      <w:tr>
        <w:trPr>
          <w:trHeight w:hRule="exact" w:val="304"/>
        </w:trPr>
        <w:tc>
          <w:tcPr>
            <w:tcW w:type="dxa" w:w="480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Average </w:t>
            </w:r>
          </w:p>
        </w:tc>
        <w:tc>
          <w:tcPr>
            <w:tcW w:type="dxa" w:w="10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56,66 </w:t>
            </w:r>
          </w:p>
        </w:tc>
        <w:tc>
          <w:tcPr>
            <w:tcW w:type="dxa" w:w="94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11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71,45 </w:t>
            </w:r>
          </w:p>
        </w:tc>
        <w:tc>
          <w:tcPr>
            <w:tcW w:type="dxa" w:w="166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8" w:after="0"/>
              <w:ind w:left="26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14,79 </w:t>
            </w:r>
          </w:p>
        </w:tc>
      </w:tr>
    </w:tbl>
    <w:p>
      <w:pPr>
        <w:autoSpaceDN w:val="0"/>
        <w:autoSpaceDE w:val="0"/>
        <w:widowControl/>
        <w:spacing w:line="245" w:lineRule="auto" w:before="44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knowledge evaluated includes the role of cadres as motivators, the role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cadres as facilitators, examples of the role of cadres as promoters, the new normal era,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and examples of behavior in the new normal era.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role of cadres as motivators is an effort to provide support and build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psychological processes / interactions between attitudes, needs, perceptions, and needs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occur in clients, families, and communities while performing their duties. Some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cadres have understood the role of cadres as motivators, which is reflected in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pretest results where 33.3% answered correctly. After receiving material exposure 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role as a motivator, the understanding of cadres has increased. The increase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comprehension was reflected in the post-test results, where 44.75% answered correctly,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showing an increase in comprehension of 11.45%. </w:t>
      </w:r>
    </w:p>
    <w:p>
      <w:pPr>
        <w:autoSpaceDN w:val="0"/>
        <w:autoSpaceDE w:val="0"/>
        <w:widowControl/>
        <w:spacing w:line="245" w:lineRule="auto" w:before="52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There was a significant increase in understanding of the role of cadres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facilitators, with pretest results of 16.7% increasing to 50% at the time of posttest.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evaluation showed an increase in cadre understanding by 33.3%, which will certainly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greatly help cadres in increasing assistance to the community. The hope is that cadres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will be able to apply the knowledge gained in daily life, so as to improve the quality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services provided. As facilitators, cadres are expected to provide services that are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accordance with the needs, nature, and type of services provided, by paying attention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to efficiency and effectiveness in their implementation (Laely, 2014). </w:t>
      </w:r>
    </w:p>
    <w:p>
      <w:pPr>
        <w:autoSpaceDN w:val="0"/>
        <w:autoSpaceDE w:val="0"/>
        <w:widowControl/>
        <w:spacing w:line="245" w:lineRule="auto" w:before="54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presentation of material on the new normal era after the Covid-19 pandemic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held to increase cadres' understanding of their roles and goals as health cadres.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context of the third question regarding the example of the role of cadres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promoters, it can be seen that in the pre-test as much as 72.2% and in the post-test it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reached 81.25%, an increase of 9.05%. Increasing cadres' understanding of the role as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promoters or drivers of community activities, especially in the face of changes in current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65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210</w:t>
      </w:r>
    </w:p>
    <w:p>
      <w:pPr>
        <w:sectPr>
          <w:pgSz w:w="11906" w:h="16841"/>
          <w:pgMar w:top="376" w:right="1440" w:bottom="4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Eliyah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Setya Wijayanta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Niken Aulia Putri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54" w:after="0"/>
        <w:ind w:left="262" w:right="206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norms of life after the Covid-19 pandemic, is very important. The hope is that cadres 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increase people's understanding related to the new lifestyle that prevails today.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Examples of behavior in the new normal era have been well understood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implemented by cadres, so the evaluation results are very satisfying. In the pretest,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result reached 94.4%, while in the post test it increased to 100%, with an increase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5.6%.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Evaluation of cadres' knowledge of the new normal era as a whole showed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significant increase of 14.79%. The increase started from the pretest by 56.66%, and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post test results reached 72.45%. However, the ability of cadres to provide excellent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service needs to be honed regularly. </w:t>
      </w:r>
    </w:p>
    <w:p>
      <w:pPr>
        <w:autoSpaceDN w:val="0"/>
        <w:autoSpaceDE w:val="0"/>
        <w:widowControl/>
        <w:spacing w:line="245" w:lineRule="auto" w:before="52" w:after="0"/>
        <w:ind w:left="262" w:right="204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cadres in Jabungan Village generally have been carrying out their duties for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many years, so they have understood the current conditions. The main impact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new normal era, apart from health, also involves socio-economic aspects. Evaluations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related to the new normal era showed an increase of 14.55%, where in the pretest it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was obtained 66.7%, and in the post test it reached 81.25%. Current conditions demand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optimal health services, especially considering that some people have experienced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trauma and psychosocial disorders due to the pandemic. Therefore, it is expected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 services provided by cadres can be optimal, considering that poor services can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increase the sense of trauma in the community (Fitriana, Kamase, Ramlawati,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Rahman, 2021). </w:t>
      </w:r>
    </w:p>
    <w:p>
      <w:pPr>
        <w:autoSpaceDN w:val="0"/>
        <w:autoSpaceDE w:val="0"/>
        <w:widowControl/>
        <w:spacing w:line="245" w:lineRule="auto" w:before="54" w:after="0"/>
        <w:ind w:left="262" w:right="208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 a role it is very different, everyone has attitudes and behaviors that are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interrelated or contrary to this situation, the roles that occur will interact with each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other in a position that does not dominate attitudes and behaviors. So every community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must socialize and interact with each other in order to establish a situation that can build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kinship or a respected role by the community to be able to give each other authority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adapting. </w:t>
      </w:r>
    </w:p>
    <w:p>
      <w:pPr>
        <w:autoSpaceDN w:val="0"/>
        <w:autoSpaceDE w:val="0"/>
        <w:widowControl/>
        <w:spacing w:line="245" w:lineRule="auto" w:before="52" w:after="0"/>
        <w:ind w:left="262" w:right="202" w:firstLine="566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Each individual may have various social statuses that determine the role expected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them in society. A role is a set of expectations applied to individuals occupying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particular social position. Humans, as social creatures, tend to live in groups. Cadres who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have extensive knowledge and the ability to mobilize society are essential. One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main roles of cadres in community empowerment is their ability to encourage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community participation with social spirit in their environment (Rahim, 2019). </w:t>
      </w:r>
    </w:p>
    <w:p>
      <w:pPr>
        <w:autoSpaceDN w:val="0"/>
        <w:tabs>
          <w:tab w:pos="840" w:val="left"/>
        </w:tabs>
        <w:autoSpaceDE w:val="0"/>
        <w:widowControl/>
        <w:spacing w:line="245" w:lineRule="auto" w:before="52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Evaluation of Community Service Activities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Evaluation of training programs in community service activities regarding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empowerment of cadres in welcoming the new norm era in Jabungan Village,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Banyumanik District, is important to do. The purpose of the evaluation is to assess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effectiveness of the training process, which includes achieving training objectives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observing changes in trainees in terms of knowledge, attitudes, and skills (Suminar,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2022). This assessment aims to evaluate the clarity of the material delivered by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resource persons, the benefits of community service activities, the relevance of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activities to the needs of cadres, and the ability of resource persons to deliver material.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This evaluation is carried out through questionnaires prepared by the organizers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filled out by cadres involved in the activity. </w:t>
      </w:r>
    </w:p>
    <w:p>
      <w:pPr>
        <w:autoSpaceDN w:val="0"/>
        <w:autoSpaceDE w:val="0"/>
        <w:widowControl/>
        <w:spacing w:line="245" w:lineRule="auto" w:before="54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Evaluation sheets for community service activities were handed over to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participants before the closing ceremony of the training. Participants are given the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750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211 </w:t>
      </w:r>
    </w:p>
    <w:p>
      <w:pPr>
        <w:sectPr>
          <w:pgSz w:w="11906" w:h="16841"/>
          <w:pgMar w:top="368" w:right="1440" w:bottom="4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632" w:right="144" w:hanging="476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Empowering cadres in preparing the community to face the new normal era in Jabungan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Banyumanik Village, Semarang City </w:t>
      </w:r>
    </w:p>
    <w:p>
      <w:pPr>
        <w:autoSpaceDN w:val="0"/>
        <w:autoSpaceDE w:val="0"/>
        <w:widowControl/>
        <w:spacing w:line="245" w:lineRule="auto" w:before="510" w:after="0"/>
        <w:ind w:left="262" w:right="210" w:firstLine="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opportunity for about 10 minutes to fill out the evaluation sheet by giving a check mark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(√) in the column that matches their choice. After the filling is completed, the evaluation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sheet is collected again by the organizer. </w:t>
      </w:r>
    </w:p>
    <w:p>
      <w:pPr>
        <w:autoSpaceDN w:val="0"/>
        <w:autoSpaceDE w:val="0"/>
        <w:widowControl/>
        <w:spacing w:line="245" w:lineRule="auto" w:before="52" w:after="0"/>
        <w:ind w:left="262" w:right="144" w:firstLine="566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According to (Nagorcka-Smith et al., 2022), evaluating the impact of community-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based training programs on health outcomes is crucial to ensure that the training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continues to be improved and effective in achieving its goals. (Johnson, B., 2018) found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that longitudinal studies can help assess the effectiveness of community-based training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>programs for health workers. (Brown, C., 2017) emphasized the importance of follow-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up plans in ensuring the sustainability of community-based training programs. (Jones,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D., 2016) compared two approaches to improving the effectiveness of community-based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training programs and found that a more comprehensive approach was more successful. </w:t>
      </w:r>
    </w:p>
    <w:p>
      <w:pPr>
        <w:autoSpaceDN w:val="0"/>
        <w:tabs>
          <w:tab w:pos="970" w:val="left"/>
        </w:tabs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CONCLUSION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implementation of community service activities with a focus on empowering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cadres in facing the new era in Jabungan Village, Banyumanik District, Semarang City, 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part of the implementation of the tri darma of higher education. Community Service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Activities (Pengabmas) in 2022 were held in the form of training attended by 30 cadres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face-to-face, and succeeded in increasing their knowledge by 15%. This initiative is 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contribution from the Department of Medical Records &amp;; Health Information Poltekkes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Kemenkes Semarang to assisted villages as educational partners. To improve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effectiveness and continuity of this program, it is important to familiarize the application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of the knowledge acquired by cadres with the support of regular monitoring and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evaluation from relevant parties. In addition, it is necessary to continue to improve the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abilities and skills of cadres as health program delivery agents in their regions, so that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community can be better prepared and able to face changes and challenges in this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new era. </w:t>
      </w:r>
    </w:p>
    <w:p>
      <w:pPr>
        <w:autoSpaceDN w:val="0"/>
        <w:autoSpaceDE w:val="0"/>
        <w:widowControl/>
        <w:spacing w:line="197" w:lineRule="auto" w:before="346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BIBLIOGRAPHY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344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Afriyanti, D. (2020). Faktor risiko yang berhubungan dengan kejadian anemia pada ibu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hamil di Kota Bukittinggi. </w:t>
      </w:r>
      <w:r>
        <w:rPr>
          <w:rFonts w:ascii="Calibri" w:hAnsi="Calibri" w:eastAsia="Calibri"/>
          <w:b w:val="0"/>
          <w:i/>
          <w:color w:val="000000"/>
          <w:sz w:val="24"/>
        </w:rPr>
        <w:t>Menara Ilmu: Jurnal Penelitian Dan Kajian Ilmiah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14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(1). </w:t>
      </w:r>
    </w:p>
    <w:p>
      <w:pPr>
        <w:autoSpaceDN w:val="0"/>
        <w:autoSpaceDE w:val="0"/>
        <w:widowControl/>
        <w:spacing w:line="245" w:lineRule="auto" w:before="346" w:after="0"/>
        <w:ind w:left="742" w:right="202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Amin, K. P., Griffiths, M. D., &amp; Dsouza, D. D. (2020). Online gaming during the COVID-19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pandemic in India: strategies for work-life balance.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Journal of Mental </w:t>
      </w:r>
      <w:r>
        <w:rPr>
          <w:rFonts w:ascii="Calibri" w:hAnsi="Calibri" w:eastAsia="Calibri"/>
          <w:b w:val="0"/>
          <w:i/>
          <w:color w:val="000000"/>
          <w:sz w:val="24"/>
        </w:rPr>
        <w:t>Health and Addiction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1–7. </w:t>
      </w:r>
    </w:p>
    <w:p>
      <w:pPr>
        <w:autoSpaceDN w:val="0"/>
        <w:autoSpaceDE w:val="0"/>
        <w:widowControl/>
        <w:spacing w:line="245" w:lineRule="auto" w:before="346" w:after="0"/>
        <w:ind w:left="742" w:right="144" w:hanging="48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Brown, C.,  et al. (2017). The Role of Follow-Up Plans in Ensuring the Sustainability of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Community-Based Training Programs. </w:t>
      </w:r>
      <w:r>
        <w:rPr>
          <w:rFonts w:ascii="Calibri" w:hAnsi="Calibri" w:eastAsia="Calibri"/>
          <w:b w:val="0"/>
          <w:i/>
          <w:color w:val="000000"/>
          <w:sz w:val="24"/>
        </w:rPr>
        <w:t>Journal of Community Health, 42(4), 689-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696. </w:t>
      </w:r>
    </w:p>
    <w:p>
      <w:pPr>
        <w:autoSpaceDN w:val="0"/>
        <w:autoSpaceDE w:val="0"/>
        <w:widowControl/>
        <w:spacing w:line="245" w:lineRule="auto" w:before="348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Fitriana, F., Kamase, J., Ramlawati, R., &amp; Rahman, Z. (2021). The effect of integrated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marketing communication on image, satisfaction and loyalty of hotel guests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Makassar city.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International Journal of Health, Economics, and Social Sciences </w:t>
      </w:r>
      <w:r>
        <w:rPr>
          <w:rFonts w:ascii="Calibri" w:hAnsi="Calibri" w:eastAsia="Calibri"/>
          <w:b w:val="0"/>
          <w:i/>
          <w:color w:val="000000"/>
          <w:sz w:val="24"/>
        </w:rPr>
        <w:t>(IJHESS)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(2), 74–91.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1042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212</w:t>
      </w:r>
    </w:p>
    <w:p>
      <w:pPr>
        <w:sectPr>
          <w:pgSz w:w="11906" w:h="16841"/>
          <w:pgMar w:top="376" w:right="1440" w:bottom="4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Eliyah</w:t>
      </w:r>
      <w:r>
        <w:rPr>
          <w:rFonts w:ascii="Calibri" w:hAnsi="Calibri" w:eastAsia="Calibri"/>
          <w:b w:val="0"/>
          <w:i w:val="0"/>
          <w:color w:val="000000"/>
          <w:sz w:val="16"/>
        </w:rPr>
        <w:t>1</w:t>
      </w:r>
      <w:r>
        <w:rPr>
          <w:rFonts w:ascii="Calibri" w:hAnsi="Calibri" w:eastAsia="Calibri"/>
          <w:b w:val="0"/>
          <w:i w:val="0"/>
          <w:color w:val="000000"/>
          <w:sz w:val="24"/>
        </w:rPr>
        <w:t>, Setya Wijayanta</w:t>
      </w:r>
      <w:r>
        <w:rPr>
          <w:rFonts w:ascii="Calibri" w:hAnsi="Calibri" w:eastAsia="Calibri"/>
          <w:b w:val="0"/>
          <w:i w:val="0"/>
          <w:color w:val="000000"/>
          <w:sz w:val="16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>, Niken Aulia Putri</w:t>
      </w:r>
      <w:r>
        <w:rPr>
          <w:rFonts w:ascii="Calibri" w:hAnsi="Calibri" w:eastAsia="Calibri"/>
          <w:b w:val="0"/>
          <w:i w:val="0"/>
          <w:color w:val="000000"/>
          <w:sz w:val="16"/>
        </w:rPr>
        <w:t>3</w:t>
      </w:r>
    </w:p>
    <w:p>
      <w:pPr>
        <w:autoSpaceDN w:val="0"/>
        <w:autoSpaceDE w:val="0"/>
        <w:widowControl/>
        <w:spacing w:line="245" w:lineRule="auto" w:before="754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Gao, G., &amp; Sai, L. (2020). Towards a ‘virtual’world: Social isolation and struggles during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the COVID‐19 pandemic as single women living alone.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Gender, Work &amp; </w:t>
      </w:r>
      <w:r>
        <w:rPr>
          <w:rFonts w:ascii="Calibri" w:hAnsi="Calibri" w:eastAsia="Calibri"/>
          <w:b w:val="0"/>
          <w:i/>
          <w:color w:val="000000"/>
          <w:sz w:val="24"/>
        </w:rPr>
        <w:t>Organization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27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(5), 754–762. </w:t>
      </w:r>
    </w:p>
    <w:p>
      <w:pPr>
        <w:autoSpaceDN w:val="0"/>
        <w:autoSpaceDE w:val="0"/>
        <w:widowControl/>
        <w:spacing w:line="245" w:lineRule="auto" w:before="346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Johnson, B.,  et al. (2018). Assessing the Effectiveness of Community-Based Training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Programs for Health Workers: A Longitudinal Study.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Journal of Health Education, </w:t>
      </w:r>
      <w:r>
        <w:rPr>
          <w:rFonts w:ascii="Calibri" w:hAnsi="Calibri" w:eastAsia="Calibri"/>
          <w:b w:val="0"/>
          <w:i/>
          <w:color w:val="000000"/>
          <w:sz w:val="24"/>
        </w:rPr>
        <w:t>49(2), 145-153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346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Jones, D.,  et al. (2016). Improving the Effectiveness of Community-Based Training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Programs: A Comparative Analysis of Two Approaches.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Journal of Community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Psychology, 44(3), 321-330.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348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Laely, N. F. (2014). Pelayanan prima posyandu lansia di Puskesmas Jagir Kota Surabaya.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Publika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2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(2). </w:t>
      </w:r>
    </w:p>
    <w:p>
      <w:pPr>
        <w:autoSpaceDN w:val="0"/>
        <w:autoSpaceDE w:val="0"/>
        <w:widowControl/>
        <w:spacing w:line="245" w:lineRule="auto" w:before="344" w:after="28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Nagorcka-Smith, P., Bolton, K. A., Dam, J., Nichols, M., Alston, L., Johnstone, M., &amp;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Allender, S. (2022). The impact of coalition characteristics on outcomes in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community-based initiatives targeting the social determinants of health: 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292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38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systematic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review.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BMC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Public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Health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, 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22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(1),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6" w:after="0"/>
              <w:ind w:left="0" w:right="9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1358. </w:t>
            </w:r>
          </w:p>
        </w:tc>
      </w:tr>
    </w:tbl>
    <w:p>
      <w:pPr>
        <w:autoSpaceDN w:val="0"/>
        <w:autoSpaceDE w:val="0"/>
        <w:widowControl/>
        <w:spacing w:line="197" w:lineRule="auto" w:before="26" w:after="0"/>
        <w:ind w:left="74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https://doi.org/10.1186/s12889-022-13678-9 </w:t>
      </w:r>
    </w:p>
    <w:p>
      <w:pPr>
        <w:autoSpaceDN w:val="0"/>
        <w:tabs>
          <w:tab w:pos="742" w:val="left"/>
        </w:tabs>
        <w:autoSpaceDE w:val="0"/>
        <w:widowControl/>
        <w:spacing w:line="245" w:lineRule="auto" w:before="346" w:after="0"/>
        <w:ind w:left="262" w:right="14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Rahim, A. R. (2019). Kumpulan Artikel: Kesehatan Masyarakat di Daerah Terpencil. </w:t>
      </w:r>
      <w:r>
        <w:tab/>
      </w:r>
      <w:r>
        <w:rPr>
          <w:rFonts w:ascii="Calibri" w:hAnsi="Calibri" w:eastAsia="Calibri"/>
          <w:b w:val="0"/>
          <w:i/>
          <w:color w:val="000000"/>
          <w:sz w:val="24"/>
        </w:rPr>
        <w:t>Perbatasan Dan Kepulauan, Yogyakarta: Leutikaprio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245" w:lineRule="auto" w:before="346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Setianingrum, S., Desmawati, L., &amp; Yusuf, A. (2017). Peranan Kader Bina Keluarga Balita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dalam Optimalisasi Tumbuh Kembang Fisik Motorik Anak Usia Dini.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Journal of </w:t>
      </w:r>
      <w:r>
        <w:rPr>
          <w:rFonts w:ascii="Calibri" w:hAnsi="Calibri" w:eastAsia="Calibri"/>
          <w:b w:val="0"/>
          <w:i/>
          <w:color w:val="000000"/>
          <w:sz w:val="24"/>
        </w:rPr>
        <w:t>Nonformal Education and Community Empowerment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137–145. </w:t>
      </w:r>
    </w:p>
    <w:p>
      <w:pPr>
        <w:autoSpaceDN w:val="0"/>
        <w:autoSpaceDE w:val="0"/>
        <w:widowControl/>
        <w:spacing w:line="245" w:lineRule="auto" w:before="346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Spoorthy, M. S., Pratapa, S. K., &amp; Mahant, S. (2020). Mental health problems faced by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healthcare workers due to the COVID-19 pandemic–A review.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Asian Journal of </w:t>
      </w:r>
      <w:r>
        <w:rPr>
          <w:rFonts w:ascii="Calibri" w:hAnsi="Calibri" w:eastAsia="Calibri"/>
          <w:b w:val="0"/>
          <w:i/>
          <w:color w:val="000000"/>
          <w:sz w:val="24"/>
        </w:rPr>
        <w:t>Psychiatry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</w:t>
      </w:r>
      <w:r>
        <w:rPr>
          <w:rFonts w:ascii="Calibri" w:hAnsi="Calibri" w:eastAsia="Calibri"/>
          <w:b w:val="0"/>
          <w:i/>
          <w:color w:val="000000"/>
          <w:sz w:val="24"/>
        </w:rPr>
        <w:t>51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, 102119. </w:t>
      </w:r>
    </w:p>
    <w:p>
      <w:pPr>
        <w:autoSpaceDN w:val="0"/>
        <w:autoSpaceDE w:val="0"/>
        <w:widowControl/>
        <w:spacing w:line="245" w:lineRule="auto" w:before="346" w:after="0"/>
        <w:ind w:left="742" w:right="204" w:hanging="480"/>
        <w:jc w:val="both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Suminar, T. (2022).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Model Pembelajaran PBT (Production Based Training) Berbasis ICARE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(Introduction, Connection, Application, Reflection, Extension) Pada Program </w:t>
      </w:r>
      <w:r>
        <w:rPr>
          <w:rFonts w:ascii="Calibri" w:hAnsi="Calibri" w:eastAsia="Calibri"/>
          <w:b w:val="0"/>
          <w:i/>
          <w:color w:val="000000"/>
          <w:sz w:val="24"/>
        </w:rPr>
        <w:t>Pelatihan Kewirausahaan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. Bayfa Cendekia Indonesia. </w:t>
      </w:r>
    </w:p>
    <w:p>
      <w:pPr>
        <w:autoSpaceDN w:val="0"/>
        <w:autoSpaceDE w:val="0"/>
        <w:widowControl/>
        <w:spacing w:line="245" w:lineRule="auto" w:before="684" w:after="0"/>
        <w:ind w:left="2160" w:right="2016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Copyright Holder: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Eliyah, Setya Wijayanta, Niken Aulia Putri (2024) </w:t>
      </w:r>
    </w:p>
    <w:p>
      <w:pPr>
        <w:autoSpaceDN w:val="0"/>
        <w:autoSpaceDE w:val="0"/>
        <w:widowControl/>
        <w:spacing w:line="245" w:lineRule="auto" w:before="346" w:after="0"/>
        <w:ind w:left="3312" w:right="3312" w:firstLine="0"/>
        <w:jc w:val="center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First Publication Right: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Jurnal Health Sains </w:t>
      </w:r>
    </w:p>
    <w:p>
      <w:pPr>
        <w:autoSpaceDN w:val="0"/>
        <w:autoSpaceDE w:val="0"/>
        <w:widowControl/>
        <w:spacing w:line="197" w:lineRule="auto" w:before="348" w:after="0"/>
        <w:ind w:left="0" w:right="291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 This article is licensed under: </w:t>
      </w:r>
    </w:p>
    <w:p>
      <w:pPr>
        <w:autoSpaceDN w:val="0"/>
        <w:tabs>
          <w:tab w:pos="8436" w:val="left"/>
        </w:tabs>
        <w:autoSpaceDE w:val="0"/>
        <w:widowControl/>
        <w:spacing w:line="197" w:lineRule="auto" w:before="996" w:after="0"/>
        <w:ind w:left="2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Jurnal Health Sains, Vol. 5, No. 4, April 2024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213 </w:t>
      </w:r>
    </w:p>
    <w:p>
      <w:pPr>
        <w:sectPr>
          <w:pgSz w:w="11906" w:h="16841"/>
          <w:pgMar w:top="368" w:right="1440" w:bottom="49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5632" w:right="144" w:hanging="4762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Empowering cadres in preparing the community to face the new normal era in Jabungan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Banyumanik Village, Semarang City </w:t>
      </w:r>
    </w:p>
    <w:p>
      <w:pPr>
        <w:autoSpaceDN w:val="0"/>
        <w:autoSpaceDE w:val="0"/>
        <w:widowControl/>
        <w:spacing w:line="240" w:lineRule="auto" w:before="506" w:after="36"/>
        <w:ind w:left="0" w:right="379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39469" cy="2959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9469" cy="29590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513"/>
        <w:gridCol w:w="4513"/>
      </w:tblGrid>
      <w:tr>
        <w:trPr>
          <w:trHeight w:hRule="exact" w:val="13324"/>
        </w:trPr>
        <w:tc>
          <w:tcPr>
            <w:tcW w:type="dxa" w:w="8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51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Jurnal Health Sains, Vol. 5, No. 4, April 2024 </w:t>
            </w:r>
          </w:p>
        </w:tc>
        <w:tc>
          <w:tcPr>
            <w:tcW w:type="dxa" w:w="36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1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214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41"/>
      <w:pgMar w:top="376" w:right="1440" w:bottom="494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putrinikenoulia@gmail.com" TargetMode="Externa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