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11" w:h="16841"/>
          <w:pgMar w:top="802" w:right="1440" w:bottom="34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1" w:h="16841"/>
          <w:pgMar w:top="802" w:right="1440" w:bottom="342" w:left="1440" w:header="720" w:footer="720" w:gutter="0"/>
          <w:cols w:num="2" w:equalWidth="0">
            <w:col w:w="4672" w:space="0"/>
            <w:col w:w="4360" w:space="0"/>
          </w:cols>
          <w:docGrid w:linePitch="360"/>
        </w:sectPr>
      </w:pPr>
    </w:p>
    <w:p>
      <w:pPr>
        <w:autoSpaceDN w:val="0"/>
        <w:tabs>
          <w:tab w:pos="1598" w:val="left"/>
        </w:tabs>
        <w:autoSpaceDE w:val="0"/>
        <w:widowControl/>
        <w:spacing w:line="245" w:lineRule="auto" w:before="0" w:after="346"/>
        <w:ind w:left="862" w:right="144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>p ISSN 2723-6927-e ISSN 2723-4339</w:t>
      </w:r>
    </w:p>
    <w:p>
      <w:pPr>
        <w:sectPr>
          <w:type w:val="nextColumn"/>
          <w:pgSz w:w="11911" w:h="16841"/>
          <w:pgMar w:top="802" w:right="1440" w:bottom="342" w:left="1440" w:header="720" w:footer="720" w:gutter="0"/>
          <w:cols w:num="2" w:equalWidth="0">
            <w:col w:w="4672" w:space="0"/>
            <w:col w:w="436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Analysis of Factors Causing Nomophobia in Adolescents: A Meta-Analysis Study </w:t>
      </w:r>
    </w:p>
    <w:p>
      <w:pPr>
        <w:autoSpaceDN w:val="0"/>
        <w:autoSpaceDE w:val="0"/>
        <w:widowControl/>
        <w:spacing w:line="245" w:lineRule="auto" w:before="346" w:after="0"/>
        <w:ind w:left="288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Aisya Alifa Rahmah¹, Irma Finurina Mustikawati², Paramita Septianawati³, </w:t>
      </w:r>
      <w:r>
        <w:rPr>
          <w:shd w:val="clear" w:color="auto" w:fill="fcfcfc"/>
          <w:rFonts w:ascii="Calibri" w:hAnsi="Calibri" w:eastAsia="Calibri"/>
          <w:b/>
          <w:i w:val="0"/>
          <w:color w:val="000000"/>
          <w:sz w:val="24"/>
        </w:rPr>
        <w:t xml:space="preserve">Glorio </w:t>
      </w:r>
      <w:r>
        <w:rPr>
          <w:shd w:val="clear" w:color="auto" w:fill="fcfcfc"/>
          <w:rFonts w:ascii="Calibri" w:hAnsi="Calibri" w:eastAsia="Calibri"/>
          <w:b/>
          <w:i w:val="0"/>
          <w:color w:val="000000"/>
          <w:sz w:val="24"/>
        </w:rPr>
        <w:t>Immanuel</w:t>
      </w:r>
      <w:r>
        <w:rPr>
          <w:rFonts w:ascii="Calibri" w:hAnsi="Calibri" w:eastAsia="Calibri"/>
          <w:b/>
          <w:i w:val="0"/>
          <w:color w:val="000000"/>
          <w:sz w:val="24"/>
        </w:rPr>
        <w:t>⁴</w:t>
      </w:r>
      <w:r>
        <w:rPr>
          <w:rFonts w:ascii="Calibri" w:hAnsi="Calibri" w:eastAsia="Calibri"/>
          <w:b w:val="0"/>
          <w:i w:val="0"/>
          <w:color w:val="000000"/>
          <w:sz w:val="16"/>
        </w:rPr>
        <w:t>1,2,3,4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Faculty of Medicine, Universitas Muhammadiyah Purwokerto, Central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Java, Indonesia Email: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irmafinurinamustikawati@ump.ac.id,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3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paramitaseptianawati@ump.ac.id,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4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glo_rio@yahoo.com </w:t>
          </w:r>
        </w:hyperlink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study combines data from various studies to provide more in-depth knowledge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underlying reasons, possible risk factors, and protective variables associated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in this demographic group. “nomophobia” describes a group of actions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symptoms associated with smartphone use. It is considered a contemporary phobia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caused by society's interaction with mobile information and communication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technology, especially cell phones. Nomophobia, the fear or worry that arises when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someone is separated from their smartphone, has become a problem in today's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digitally connected culture. This research uses meta-analysis research methods.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Preferred Reporting Items for Systematic Reviews and Meta-Analyses (PRISMA 2020)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were used in this study. Studies published between 2013 and 2023 were the focus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search. Factors that influence nomophobia include Duration of Smartphone Use,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Dependence on Social Media and the Internet, Compulsive and Obsessive Behavior,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Social Relationships and Mental Health, Mindfulness, and Demographic Factors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gender, employment status, parental education, and level of education. The results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search provide in-depth information about the characteristics and causes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nomophobia, highlighting the need for focused treatment and support networks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address this increasing problem among adolescents. This meta-analysis seeks to close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gap by methodically investigating the elements that lead to adolescent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Keywords: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Nomophobia, Teenagers, Digital, Smartphone, Addiction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Virtual communications and new technological devices are valuable resources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planet. People are now finding comfort in computers, tablets, and mobile phones,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especially young people, in all aspects of their lives. Some of the things these devices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help with are internet access, photo editing, listening to music and radio, news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consumption, address and route search, making appointments, banking, shopping,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gaming, and much more. At the same time, advances in technology and virtual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communications bring both benefits and harm to the world. Disadvantages include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social hardships such as social isolation and financial/economic problems such as huge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debts incurred due to the purchase or use of advanced phones. It can also target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and physical disorders, including electromagnetic field radiation damage,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car accidents, and anxiety stemming from the fear of losing the ability to use modern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80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237 </w:t>
      </w:r>
    </w:p>
    <w:p>
      <w:pPr>
        <w:sectPr>
          <w:type w:val="continuous"/>
          <w:pgSz w:w="11911" w:h="16841"/>
          <w:pgMar w:top="802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Factor Causing Nomophobia in Adolescents: A Meta- Analysis Study </w:t>
      </w:r>
    </w:p>
    <w:p>
      <w:pPr>
        <w:autoSpaceDN w:val="0"/>
        <w:autoSpaceDE w:val="0"/>
        <w:widowControl/>
        <w:spacing w:line="245" w:lineRule="auto" w:before="1066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technology. Nomophobia is a term when using this device causes strong feelings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fear and sadness and creates dependence on cell phones (Sharma et al. 2019).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abbreviation for "NoMObile PHone PhoBIA" is nomophobia, namely the fear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not being able to use or not being able to be approached via a smartphone. This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fear of the modern age caused by interaction with new technology. In recent years,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phenomenon has attracted a lot of attention, especially from teenagers, who use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mobile devices more often than anyone else. Concerns about the psychological impact,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particularly for young populations, arise as a result of increasing reliance on mobile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phones as instruments for social contact, communication, and entertainment (Ghogare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al. 2022).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Additionally, those who had cell phones for several years and spent a lot of time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using them showed higher levels of nomophobia. Concerns about over-reliance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technology can be seen in the emergence of social networking as a primary form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communication, especially among the younger generation. A possible addition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DSM-V, the diagnostic guide for mental illness, is nomophobia, defined as the fear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being without a cell phone. Given the huge impact smartphones have on everyday life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potential impact on ordinary users who lose their devices, it is important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 the implications of smartphone use on society's general well-being. According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a study on parental educational attainment, the average nomophobia score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decreased as the father's education level increased (Morales Rodríguez et al. 2020).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addition, a related study found that the duration of smartphone use,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sentiment, and parental education level were all closely related to the emergence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smartphone addiction. (Çiçek et al. 2021) conducted research that corroborated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unfavorable correlation found between a father's educational performance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problems with forward motivation, loneliness, and smartphone addiction.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conclusions of this study show how risk factors, such as the father's education level,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 excessive smartphone use, which is closely related to smartphone addiction.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Additionally, their fathers' poor educational background and the participants'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smartphone addiction were linked in other similar studies.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address the prevalence of nomophobia among teenagers and reduce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potential negative impact on their mental health and general well-being, it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important to understand the underlying elements of this problem. Even though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phenomenon has undergone several studies, a thorough analysis is still needed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synthesizes previous research findings and finds similarities or different trends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different studies. This meta-analysis seeks to close this gap by methodically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investigating the elements that lead to adolescent nomophobia. This study aims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more in-depth knowledge about the underlying reasons, possible risk factors,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protective variables associated with nomophobia in this demographic group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combining data from various studies.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RESEARCHED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research uses meta-analysis research methods. Preferred Reporting Items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Systematic Reviews and Meta-Analyses (PRISMA 2020) were used in this study.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Compliance checklists are provided in databases including PubMed, Web of Science,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AccessMedicine, ScienceDirect, EMBASE, PROQUEST Research Library (including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105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238</w:t>
      </w:r>
    </w:p>
    <w:p>
      <w:pPr>
        <w:sectPr>
          <w:pgSz w:w="11911" w:h="16841"/>
          <w:pgMar w:top="222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1278890</wp:posOffset>
            </wp:positionH>
            <wp:positionV relativeFrom="page">
              <wp:posOffset>4709160</wp:posOffset>
            </wp:positionV>
            <wp:extent cx="273050" cy="112922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1292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4298950</wp:posOffset>
            </wp:positionH>
            <wp:positionV relativeFrom="page">
              <wp:posOffset>6111240</wp:posOffset>
            </wp:positionV>
            <wp:extent cx="1949450" cy="30202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020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1744980</wp:posOffset>
            </wp:positionH>
            <wp:positionV relativeFrom="page">
              <wp:posOffset>6035040</wp:posOffset>
            </wp:positionV>
            <wp:extent cx="1949449" cy="36609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449" cy="3660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1728470</wp:posOffset>
            </wp:positionH>
            <wp:positionV relativeFrom="page">
              <wp:posOffset>6529070</wp:posOffset>
            </wp:positionV>
            <wp:extent cx="1949450" cy="37067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706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4310380</wp:posOffset>
            </wp:positionH>
            <wp:positionV relativeFrom="page">
              <wp:posOffset>6468110</wp:posOffset>
            </wp:positionV>
            <wp:extent cx="1948180" cy="37042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704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1267460</wp:posOffset>
            </wp:positionH>
            <wp:positionV relativeFrom="page">
              <wp:posOffset>5935980</wp:posOffset>
            </wp:positionV>
            <wp:extent cx="273050" cy="156425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15642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7514590</wp:posOffset>
            </wp:positionV>
            <wp:extent cx="273050" cy="638659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6386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2684780</wp:posOffset>
            </wp:positionH>
            <wp:positionV relativeFrom="page">
              <wp:posOffset>6906259</wp:posOffset>
            </wp:positionV>
            <wp:extent cx="78739" cy="24605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39" cy="2460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1715770</wp:posOffset>
            </wp:positionH>
            <wp:positionV relativeFrom="page">
              <wp:posOffset>7711440</wp:posOffset>
            </wp:positionV>
            <wp:extent cx="1949450" cy="43016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301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4288790</wp:posOffset>
            </wp:positionH>
            <wp:positionV relativeFrom="page">
              <wp:posOffset>7091680</wp:posOffset>
            </wp:positionV>
            <wp:extent cx="1949450" cy="462193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621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1746250</wp:posOffset>
            </wp:positionH>
            <wp:positionV relativeFrom="page">
              <wp:posOffset>7091680</wp:posOffset>
            </wp:positionV>
            <wp:extent cx="1949450" cy="462193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621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4298950</wp:posOffset>
            </wp:positionH>
            <wp:positionV relativeFrom="page">
              <wp:posOffset>4715510</wp:posOffset>
            </wp:positionV>
            <wp:extent cx="1962150" cy="1104856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048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1743710</wp:posOffset>
            </wp:positionH>
            <wp:positionV relativeFrom="page">
              <wp:posOffset>4715510</wp:posOffset>
            </wp:positionV>
            <wp:extent cx="1949450" cy="1102858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1028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4699000</wp:posOffset>
            </wp:positionV>
            <wp:extent cx="5016500" cy="3467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67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1724660</wp:posOffset>
            </wp:positionH>
            <wp:positionV relativeFrom="page">
              <wp:posOffset>4287520</wp:posOffset>
            </wp:positionV>
            <wp:extent cx="4191000" cy="28367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6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Aisya Alifa Rahmah¹, Irma Finurina Mustikawati², Paramita Septianawati³, Glorio Immanuel⁴</w:t>
      </w:r>
    </w:p>
    <w:p>
      <w:pPr>
        <w:autoSpaceDN w:val="0"/>
        <w:autoSpaceDE w:val="0"/>
        <w:widowControl/>
        <w:spacing w:line="245" w:lineRule="auto" w:before="1090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ABI/INFORM), and Scopus. A comprehensive search was conducted in all electronic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databases. "Nomophobia" or "no-mobile-phobia " and "factor" or "smartphone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addiction," "internet addiction," "digital addiction," or "social media addiction" were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some of the key phrases used in the search strategy. Studies published between 2013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2023 were the focus of the search. </w:t>
      </w:r>
    </w:p>
    <w:p>
      <w:pPr>
        <w:autoSpaceDN w:val="0"/>
        <w:tabs>
          <w:tab w:pos="828" w:val="left"/>
          <w:tab w:pos="1188" w:val="left"/>
        </w:tabs>
        <w:autoSpaceDE w:val="0"/>
        <w:widowControl/>
        <w:spacing w:line="245" w:lineRule="auto" w:before="52" w:after="0"/>
        <w:ind w:left="262" w:right="172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Inclusion and Exclusion Criteria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inclusion criteria are: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1)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Articles about nomophobia were published in 2013-2023. </w:t>
      </w:r>
    </w:p>
    <w:p>
      <w:pPr>
        <w:autoSpaceDN w:val="0"/>
        <w:autoSpaceDE w:val="0"/>
        <w:widowControl/>
        <w:spacing w:line="197" w:lineRule="auto" w:before="52" w:after="0"/>
        <w:ind w:left="11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Peer-reviewed research articles published in English. </w:t>
      </w:r>
    </w:p>
    <w:p>
      <w:pPr>
        <w:autoSpaceDN w:val="0"/>
        <w:autoSpaceDE w:val="0"/>
        <w:widowControl/>
        <w:spacing w:line="197" w:lineRule="auto" w:before="54" w:after="0"/>
        <w:ind w:left="11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assessed the factors causing nomophobia in adolescents. </w:t>
      </w:r>
    </w:p>
    <w:p>
      <w:pPr>
        <w:autoSpaceDN w:val="0"/>
        <w:tabs>
          <w:tab w:pos="1188" w:val="left"/>
        </w:tabs>
        <w:autoSpaceDE w:val="0"/>
        <w:widowControl/>
        <w:spacing w:line="245" w:lineRule="auto" w:before="52" w:after="0"/>
        <w:ind w:left="828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exclusion criteria are: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1)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Studies in the form of case reports or book chapters. </w:t>
      </w:r>
    </w:p>
    <w:p>
      <w:pPr>
        <w:autoSpaceDN w:val="0"/>
        <w:tabs>
          <w:tab w:pos="1548" w:val="left"/>
        </w:tabs>
        <w:autoSpaceDE w:val="0"/>
        <w:widowControl/>
        <w:spacing w:line="245" w:lineRule="auto" w:before="52" w:after="0"/>
        <w:ind w:left="118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2)</w:t>
      </w:r>
      <w:r>
        <w:rPr>
          <w:rFonts w:ascii="Calibri" w:hAnsi="Calibri" w:eastAsia="Calibri"/>
          <w:b w:val="0"/>
          <w:i w:val="0"/>
          <w:color w:val="000000"/>
          <w:sz w:val="24"/>
        </w:rPr>
        <w:t>It is not a peer-reviewed research article that was published in a non-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English format. </w:t>
      </w:r>
    </w:p>
    <w:p>
      <w:pPr>
        <w:autoSpaceDN w:val="0"/>
        <w:tabs>
          <w:tab w:pos="1548" w:val="left"/>
        </w:tabs>
        <w:autoSpaceDE w:val="0"/>
        <w:widowControl/>
        <w:spacing w:line="245" w:lineRule="auto" w:before="52" w:after="306"/>
        <w:ind w:left="118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is not directed at the factors causing nomophobia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adolescents.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2258"/>
        <w:gridCol w:w="2258"/>
        <w:gridCol w:w="2258"/>
        <w:gridCol w:w="2258"/>
      </w:tblGrid>
      <w:tr>
        <w:trPr>
          <w:trHeight w:hRule="exact" w:val="62"/>
        </w:trPr>
        <w:tc>
          <w:tcPr>
            <w:tcW w:type="dxa" w:w="97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600"/>
            </w:tblGrid>
            <w:tr>
              <w:trPr>
                <w:trHeight w:hRule="exact" w:val="430"/>
              </w:trPr>
              <w:tc>
                <w:tcPr>
                  <w:tcW w:type="dxa" w:w="6600"/>
                  <w:tcBorders/>
                  <w:shd w:fill="8062a0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.9999999999997726" w:type="dxa"/>
                  </w:tblPr>
                  <w:tblGrid>
                    <w:gridCol w:w="6600"/>
                  </w:tblGrid>
                  <w:tr>
                    <w:trPr>
                      <w:trHeight w:hRule="exact" w:val="429"/>
                    </w:trPr>
                    <w:tc>
                      <w:tcPr>
                        <w:tcW w:type="dxa" w:w="6582"/>
                        <w:tcBorders>
                          <w:bottom w:sz="8.0" w:val="single" w:color="#3D2F51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0.0" w:type="dxa"/>
                  </w:tblPr>
                  <w:tblGrid>
                    <w:gridCol w:w="6600"/>
                  </w:tblGrid>
                  <w:tr>
                    <w:trPr>
                      <w:trHeight w:hRule="exact" w:val="356"/>
                    </w:trPr>
                    <w:tc>
                      <w:tcPr>
                        <w:tcW w:type="dxa" w:w="6526"/>
                        <w:tcBorders>
                          <w:top w:sz="8.0" w:val="single" w:color="#3D2F51"/>
                          <w:end w:sz="8.0" w:val="single" w:color="#3D2F51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140" w:after="0"/>
                          <w:ind w:left="0" w:right="146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/>
                            <w:i w:val="0"/>
                            <w:color w:val="FFFFFF"/>
                            <w:sz w:val="22"/>
                          </w:rPr>
                          <w:t>Identification of studies via databases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0"/>
        </w:trPr>
        <w:tc>
          <w:tcPr>
            <w:tcW w:type="dxa" w:w="97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774"/>
            <w:gridSpan w:val="3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97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Identification </w:t>
            </w:r>
          </w:p>
        </w:tc>
        <w:tc>
          <w:tcPr>
            <w:tcW w:type="dxa" w:w="3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5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Records identified from:</w:t>
            </w:r>
          </w:p>
        </w:tc>
        <w:tc>
          <w:tcPr>
            <w:tcW w:type="dxa" w:w="3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0" w:after="0"/>
              <w:ind w:left="7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Records removed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before </w:t>
            </w:r>
          </w:p>
        </w:tc>
      </w:tr>
      <w:tr>
        <w:trPr>
          <w:trHeight w:hRule="exact" w:val="300"/>
        </w:trPr>
        <w:tc>
          <w:tcPr>
            <w:tcW w:type="dxa" w:w="2258"/>
            <w:vMerge/>
            <w:tcBorders/>
          </w:tcPr>
          <w:p/>
        </w:tc>
        <w:tc>
          <w:tcPr>
            <w:tcW w:type="dxa" w:w="3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1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Databases (n= </w:t>
            </w:r>
          </w:p>
        </w:tc>
        <w:tc>
          <w:tcPr>
            <w:tcW w:type="dxa" w:w="3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79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screening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:</w:t>
            </w:r>
          </w:p>
        </w:tc>
      </w:tr>
      <w:tr>
        <w:trPr>
          <w:trHeight w:hRule="exact" w:val="280"/>
        </w:trPr>
        <w:tc>
          <w:tcPr>
            <w:tcW w:type="dxa" w:w="2258"/>
            <w:vMerge/>
            <w:tcBorders/>
          </w:tcPr>
          <w:p/>
        </w:tc>
        <w:tc>
          <w:tcPr>
            <w:tcW w:type="dxa" w:w="3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0" w:right="16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30)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Duplicate </w:t>
            </w:r>
          </w:p>
        </w:tc>
        <w:tc>
          <w:tcPr>
            <w:tcW w:type="dxa" w:w="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2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records </w:t>
            </w:r>
          </w:p>
        </w:tc>
      </w:tr>
      <w:tr>
        <w:trPr>
          <w:trHeight w:hRule="exact" w:val="300"/>
        </w:trPr>
        <w:tc>
          <w:tcPr>
            <w:tcW w:type="dxa" w:w="2258"/>
            <w:vMerge/>
            <w:tcBorders/>
          </w:tcPr>
          <w:p/>
        </w:tc>
        <w:tc>
          <w:tcPr>
            <w:tcW w:type="dxa" w:w="2258"/>
            <w:vMerge/>
            <w:tcBorders/>
          </w:tcPr>
          <w:p/>
        </w:tc>
        <w:tc>
          <w:tcPr>
            <w:tcW w:type="dxa" w:w="31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6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removed (n = 5 )</w:t>
            </w:r>
          </w:p>
        </w:tc>
      </w:tr>
      <w:tr>
        <w:trPr>
          <w:trHeight w:hRule="exact" w:val="300"/>
        </w:trPr>
        <w:tc>
          <w:tcPr>
            <w:tcW w:type="dxa" w:w="2258"/>
            <w:vMerge/>
            <w:tcBorders/>
          </w:tcPr>
          <w:p/>
        </w:tc>
        <w:tc>
          <w:tcPr>
            <w:tcW w:type="dxa" w:w="6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Title has no correlation</w:t>
            </w:r>
          </w:p>
        </w:tc>
      </w:tr>
    </w:tbl>
    <w:p>
      <w:pPr>
        <w:autoSpaceDN w:val="0"/>
        <w:autoSpaceDE w:val="0"/>
        <w:widowControl/>
        <w:spacing w:line="197" w:lineRule="auto" w:before="10" w:after="370"/>
        <w:ind w:left="0" w:right="28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>(n=0)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010"/>
        <w:gridCol w:w="3010"/>
        <w:gridCol w:w="3010"/>
      </w:tblGrid>
      <w:tr>
        <w:trPr>
          <w:trHeight w:hRule="exact" w:val="30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0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Screening 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8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Records screened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0" w:after="0"/>
              <w:ind w:left="0" w:right="8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Records excluded</w:t>
            </w:r>
          </w:p>
        </w:tc>
      </w:tr>
      <w:tr>
        <w:trPr>
          <w:trHeight w:hRule="exact" w:val="340"/>
        </w:trPr>
        <w:tc>
          <w:tcPr>
            <w:tcW w:type="dxa" w:w="3010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18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(n= 19)</w:t>
            </w:r>
          </w:p>
        </w:tc>
        <w:tc>
          <w:tcPr>
            <w:tcW w:type="dxa" w:w="301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10"/>
            <w:vMerge/>
            <w:tcBorders/>
          </w:tcPr>
          <w:p/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Reports sought for retrieval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0" w:right="5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Reports not retrieved</w:t>
            </w:r>
          </w:p>
        </w:tc>
      </w:tr>
      <w:tr>
        <w:trPr>
          <w:trHeight w:hRule="exact" w:val="100"/>
        </w:trPr>
        <w:tc>
          <w:tcPr>
            <w:tcW w:type="dxa" w:w="3010"/>
            <w:vMerge/>
            <w:tcBorders/>
          </w:tcPr>
          <w:p/>
        </w:tc>
        <w:tc>
          <w:tcPr>
            <w:tcW w:type="dxa" w:w="3010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2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(n= 4 )</w:t>
            </w:r>
          </w:p>
        </w:tc>
      </w:tr>
      <w:tr>
        <w:trPr>
          <w:trHeight w:hRule="exact" w:val="464"/>
        </w:trPr>
        <w:tc>
          <w:tcPr>
            <w:tcW w:type="dxa" w:w="3010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8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(n= 16)</w:t>
            </w:r>
          </w:p>
        </w:tc>
        <w:tc>
          <w:tcPr>
            <w:tcW w:type="dxa" w:w="30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80" w:after="12"/>
        <w:ind w:left="14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Reports assessed foreligibility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010"/>
        <w:gridCol w:w="3010"/>
        <w:gridCol w:w="3010"/>
      </w:tblGrid>
      <w:tr>
        <w:trPr>
          <w:trHeight w:hRule="exact" w:val="5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14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Included 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15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(n= 12)</w:t>
            </w:r>
          </w:p>
        </w:tc>
        <w:tc>
          <w:tcPr>
            <w:tcW w:type="dxa" w:w="3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7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Reports excluded = 4</w:t>
            </w:r>
          </w:p>
        </w:tc>
      </w:tr>
      <w:tr>
        <w:trPr>
          <w:trHeight w:hRule="exact" w:val="400"/>
        </w:trPr>
        <w:tc>
          <w:tcPr>
            <w:tcW w:type="dxa" w:w="3010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4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Studies included in review</w:t>
            </w:r>
          </w:p>
        </w:tc>
        <w:tc>
          <w:tcPr>
            <w:tcW w:type="dxa" w:w="3010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10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16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(n= 8)</w:t>
            </w:r>
          </w:p>
        </w:tc>
        <w:tc>
          <w:tcPr>
            <w:tcW w:type="dxa" w:w="30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32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Figure 1. PRISMA</w:t>
      </w:r>
    </w:p>
    <w:p>
      <w:pPr>
        <w:autoSpaceDN w:val="0"/>
        <w:tabs>
          <w:tab w:pos="970" w:val="left"/>
        </w:tabs>
        <w:autoSpaceDE w:val="0"/>
        <w:widowControl/>
        <w:spacing w:line="245" w:lineRule="auto" w:before="408" w:after="968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Analysis Result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majority of research focuses on the level and frequency of nomophobia.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They defined nomophobia and linked it to various variables, including age, gender,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5"/>
        <w:gridCol w:w="4515"/>
      </w:tblGrid>
      <w:tr>
        <w:trPr>
          <w:trHeight w:hRule="exact" w:val="260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220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Factor Causing Nomophobia in Adolescents: A Meta- Analysis Study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1066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amount of time spent using smartphones each day, academic status, housing type,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internet connection, number of job applications, and educational attainment.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following are the results of the analysis: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 is evident from the research findings that undergraduate medical students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nomophobia. It has been proven that there is a negative correlation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and happiness and self-esteem, as well as a positive correlation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feelings of loneliness. Additionally, there is a statistically significant relationship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nomophobia and self-esteem. These findings suggest a strong correlation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nomophobia and psychological health.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(Gonçalves, Dias, and Correia 2020), there is a good relationship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psychopathological symptoms and nomophobia. Three factors have been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identified as primary indications of nomophobia: OCD, interpersonal sensitivity,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amount of time spent using smartphones each day. Highly educated people often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stronger relationships with family and friends and show fewer symptoms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(Vagka et al. 2023), 99.9% of participants showed some level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nomophobia, with the dominant level being moderate (57.0%). Severe nomophobia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common in women and unemployed participants (adj PR = 1.57),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participants whose fathers did not have a college degree had 30% higher levels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overall (p = 0.029). Additionally, 45.8% of those with any degree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said that it adversely affected their academic performance, and 59%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those with severe nomophobia checked their phones very frequently (p &lt; 0.001). Early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prevention should be prioritized by creating integrated health promotion initiatives.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(Arpaci, Baloğlu, and Kesici 2019), there is a strong inverse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between mindfulness and nomophobia in both genders. When they cannot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communicate, students with poor attention levels show more anxiety.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intensity was found to have a strong, positive, and substantial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 with anxiety about social appearance, problematic internet use,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dependence on social media, according to (Ayar et al. 2018).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clearer relationship between nomophobia and obsession was demonstrated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(Lee et al. 2018). Higher levels of obsession correlate with higher levels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severity, which may be a factor in the increase in clinical symptoms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caused by new technological advances.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(Al-Mamun et al. 2023), there is a substantial correlation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and sadness, difficulty sleeping, Facebook addiction, and smartphone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addiction. In addition, there was a strong moderating effect of smartphone addiction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the relationship between nomophobia and Facebook addiction. Reducing the use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psychoactive substances and daily smartphone use are two strategies that can help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the incidence of nomophobia among college students.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(Gezgin et al. 2018), there were significant differences observed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terms of duration of mobile internet ownership, duration of daily mobile internet use,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daily smartphone checking time. However, no statistically significant correlation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found between the duration of smartphone ownership and monthly GSM mobile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internet quota. Ultimately, a statistically significant correlation was found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and loneliness, indicating that adolescents' feelings of loneliness can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105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240</w:t>
      </w:r>
    </w:p>
    <w:p>
      <w:pPr>
        <w:sectPr>
          <w:pgSz w:w="11911" w:h="16841"/>
          <w:pgMar w:top="222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Aisya Alifa Rahmah¹, Irma Finurina Mustikawati², Paramita Septianawati³, Glorio Immanuel⁴</w:t>
      </w:r>
    </w:p>
    <w:p>
      <w:pPr>
        <w:autoSpaceDN w:val="0"/>
        <w:autoSpaceDE w:val="0"/>
        <w:widowControl/>
        <w:spacing w:line="197" w:lineRule="auto" w:before="109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predict their nomophobia. </w:t>
      </w:r>
    </w:p>
    <w:p>
      <w:pPr>
        <w:autoSpaceDN w:val="0"/>
        <w:tabs>
          <w:tab w:pos="982" w:val="left"/>
        </w:tabs>
        <w:autoSpaceDE w:val="0"/>
        <w:widowControl/>
        <w:spacing w:line="245" w:lineRule="auto" w:before="11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Teenagers are becoming more and more concerned about nomophobia, or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dread of being without a cell phone. Research has shown a number of contributing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elements. Individuals who are homophobic frequently exhibit traits such as excessive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usage of smartphones, avoiding locations designated for smartphone use,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constantly carrying a phone with them. Teenagers and young adults are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vulnerable to nomophobia because of their increased social contact and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availability. Age is a significant risk factor for nomophobia, with younger age groups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likely than older ones to have the condition. Furthermore, there are a number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established reasons for mobile phone addiction that have been linked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development of nomophobia, including low self-esteem, difficulties sustaining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interactions, and the desire for acceptance from others. It has also been determined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the rise in smartphone use and the availability of Internet access are factors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development of nomophobia in young people (Kaviani et al. 2020).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is characterized by physical symptoms like perspiration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elevated heart rate, as well as psychological symptoms like worry, panic attacks,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agitation when the phone is not in one's possession. When faced with spotty network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connection or limited smartphone usage regions, teens and young adults may become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stressed and impulsive, which can exacerbate their symptoms of nomophobia.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have also been reports of nomophobia coexisting with comorbid diseases such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behavioral addiction disorders, drug misuse, and depression. Furthermore, while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affects people of all ages equally, research has shown that variables like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and age do not substantially predict the condition. However, compared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older adults, women and younger age groups seem to be more likely to acquire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(Moreno-Guerrero et al. 2020).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When it comes to nomophobia, young adults appear to be more susceptible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than other age groups. The fact that young people are more used to contemporary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tools and technology than persons in other age groups may help to explain this.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Gender inequalities may arise from the fact that women use their phones primarily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social networking and communication and to maintain relationships with friends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family, while males think that mobile phone technology boosts their degree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freedom. People who are nomophobia may never turn off their phones or always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them close at hand, even when they go to bed. Some of them may even carry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additional phone, battery, or charger just in case they misplace their phone or run out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power. Furthermore, nomophobia is sometimes classified as a "situational phobia,"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similar to agoraphobia or the fear of getting sick and not getting help right away;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other hand, it is sometimes classified as a "behavioral addiction" to mobile phones,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exhibiting signs of both physical and psychosocial dependence (Karl et al. 2020).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 has been suggested that social danger is the mechanism via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may result in unfavorable psychological states or outcomes, most notably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tension.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72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conducted on a sample of university students in Turkey found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strong correlation between using a cell phone and feeling lonely. 70 Numerous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have shown that the development of nomophobia as a result of excessive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98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241 </w:t>
      </w:r>
    </w:p>
    <w:p>
      <w:pPr>
        <w:sectPr>
          <w:pgSz w:w="11911" w:h="16841"/>
          <w:pgMar w:top="220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Factor Causing Nomophobia in Adolescents: A Meta- Analysis Study </w:t>
      </w:r>
    </w:p>
    <w:p>
      <w:pPr>
        <w:autoSpaceDN w:val="0"/>
        <w:autoSpaceDE w:val="0"/>
        <w:widowControl/>
        <w:spacing w:line="245" w:lineRule="auto" w:before="1066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mobile phone use is also influenced by maladaptive perfectionism, depression,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aggression, impulsivity, and other psychological characteristics. It has been established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problematic mobile phone use is strongly predicted by low self-esteem.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Furthermore, research has looked at extraversion and neuroticism as potential risk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factors for improper cell phone use. Numerous investigations have endeavored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pinpoint the risk factors linked to nomophobia, with a particular focus on psychological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demographic aspects. But nomophobia also negatively impacts physical health in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number of ways (Naser et al. 2023).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conclusion of this research is that the factors that influence nomophobia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include: duration of smartphone use, dependence on social media and the internet,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compulsive and obsessive behavior, social relationships and mental health,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mindfulness, demographic factors such as gender, employment status, parental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education, and education level. The fear that teenagers have about not having a cell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phone, or nomophobia, is a serious and growing problem. Various contributing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elements, such as excessive smartphone use, social contact, and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availability, have been discovered in the research. Symptoms of Nomophobia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 physical discomfort, anxiety, and panic attacks. Because of their reliance on cell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phones for social connection and the need for acceptance, teenagers and young adults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a particularly vulnerable group. Teenagers are more susceptible to nomophobia,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can have a detrimental impact on their mental and physical health. The results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 be applied in the treatment of adolescent nomophobia. Early prevention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techniques and integrated health promotion activities are essential to reduce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increasing incidence of nomophobia. The goal of the initiative is to strengthen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bonds, encourage responsible smartphone use, and improve psychological health.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Additionally, it may be beneficial to teach teens about the possible negative impacts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excessive smartphone use and provide them with coping mechanisms to deal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anxiety associated with losing their phone. Additionally, educators and medical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professionals need to be aware of how nomophobia affects adolescents and be ready </w:t>
      </w:r>
      <w:r>
        <w:rPr>
          <w:rFonts w:ascii="Calibri" w:hAnsi="Calibri" w:eastAsia="Calibri"/>
          <w:b w:val="0"/>
          <w:i w:val="0"/>
          <w:color w:val="000000"/>
          <w:sz w:val="24"/>
        </w:rPr>
        <w:t>to offer help and support to affected individuals. The results of this search provide in-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depth information about the characteristics and causes of nomophobia, highlighting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 for focused treatment and support networks to address the increasing problem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among adolescents. </w:t>
      </w:r>
    </w:p>
    <w:p>
      <w:pPr>
        <w:autoSpaceDN w:val="0"/>
        <w:autoSpaceDE w:val="0"/>
        <w:widowControl/>
        <w:spacing w:line="197" w:lineRule="auto" w:before="41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45" w:lineRule="auto" w:before="112" w:after="26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Al-Mamun, Firoj et al. 2023. “Nomophobia among University Students: Prevalence,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Correlates, and the Mediating Role of Smartphone Use between Facebook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05"/>
        <w:gridCol w:w="1505"/>
        <w:gridCol w:w="1505"/>
        <w:gridCol w:w="1505"/>
        <w:gridCol w:w="1505"/>
        <w:gridCol w:w="1505"/>
      </w:tblGrid>
      <w:tr>
        <w:trPr>
          <w:trHeight w:hRule="exact" w:val="29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Addiction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Nomophobia.”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Heliyon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9(3):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e14284. </w:t>
            </w:r>
          </w:p>
        </w:tc>
      </w:tr>
    </w:tbl>
    <w:p>
      <w:pPr>
        <w:autoSpaceDN w:val="0"/>
        <w:autoSpaceDE w:val="0"/>
        <w:widowControl/>
        <w:spacing w:line="197" w:lineRule="auto" w:before="26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doi:10.1016/j.heliyon.2023.e14284.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Arpaci, Ibrahim, Mustafa Baloğlu, and Şahin Kesici. 2019. “A Multi-Group Analysis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Effects of Individual Differences in Mindfulness on Nomophobia.”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Information </w:t>
      </w:r>
      <w:r>
        <w:rPr>
          <w:rFonts w:ascii="Calibri" w:hAnsi="Calibri" w:eastAsia="Calibri"/>
          <w:b w:val="0"/>
          <w:i/>
          <w:color w:val="000000"/>
          <w:sz w:val="24"/>
        </w:rPr>
        <w:t>Development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35(2): 333–41.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Ayar, Dijle, Gülçin Özalp Gerçeker, Emine Zahide Özdemir, and Murat Bektas. 2018. </w:t>
      </w:r>
    </w:p>
    <w:p>
      <w:pPr>
        <w:autoSpaceDN w:val="0"/>
        <w:autoSpaceDE w:val="0"/>
        <w:widowControl/>
        <w:spacing w:line="197" w:lineRule="auto" w:before="56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“The Effect of Problematic Internet Use, Social Appearance Anxiety, and Social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92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242</w:t>
      </w:r>
    </w:p>
    <w:p>
      <w:pPr>
        <w:sectPr>
          <w:pgSz w:w="11911" w:h="16841"/>
          <w:pgMar w:top="222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Aisya Alifa Rahmah¹, Irma Finurina Mustikawati², Paramita Septianawati³, Glorio Immanuel⁴</w:t>
      </w:r>
    </w:p>
    <w:p>
      <w:pPr>
        <w:autoSpaceDN w:val="0"/>
        <w:autoSpaceDE w:val="0"/>
        <w:widowControl/>
        <w:spacing w:line="245" w:lineRule="auto" w:before="1090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Media Use on Nursing Students’ Nomophobia Levels.”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CIN: Computers, </w:t>
      </w:r>
      <w:r>
        <w:rPr>
          <w:rFonts w:ascii="Calibri" w:hAnsi="Calibri" w:eastAsia="Calibri"/>
          <w:b w:val="0"/>
          <w:i/>
          <w:color w:val="000000"/>
          <w:sz w:val="24"/>
        </w:rPr>
        <w:t>Informatics,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36(12): 589–95.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Çiçek, Ilhan, Selami Tanriverdi, Mehmet Emin ŞANLI, and Metin Bulus. 2021. “Parental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Attitudes and Socio-Demographic Factors as Predictors of Smartphone Addiction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University Students.”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Psychology and Educational </w:t>
      </w:r>
      <w:r>
        <w:rPr>
          <w:rFonts w:ascii="Calibri" w:hAnsi="Calibri" w:eastAsia="Calibri"/>
          <w:b w:val="0"/>
          <w:i/>
          <w:color w:val="000000"/>
          <w:sz w:val="24"/>
        </w:rPr>
        <w:t>Studies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8(2): 158–69.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Gezgin, Deniz Mertkan, Nazire Burcin Hamutoglu, Gozde Sezen-Gultekin, and Tuncay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Ayas. 2018. “The Relationship between Nomophobia and Loneliness among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Turkish Adolescents.”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Research in Education and Science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4(2): 358–74.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Ghogare, Ajinkya Sureshrao et al. 2022. “A Cross-Sectional Online Survey of an Impact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COVID-19 Lockdown on Smartphone Addiction and Nomophobia among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Undergraduate Health Sciences Students of a Rural Tertiary Health-Care Center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Maharashtra, India.” </w:t>
      </w:r>
      <w:r>
        <w:rPr>
          <w:rFonts w:ascii="Calibri" w:hAnsi="Calibri" w:eastAsia="Calibri"/>
          <w:b w:val="0"/>
          <w:i/>
          <w:color w:val="000000"/>
          <w:sz w:val="24"/>
        </w:rPr>
        <w:t>Annals of Indian Psychiatry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6(1): 27–37.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Gonçalves, Soraia, Paulo Dias, and Ana-Paula Correia. 2020. “Nomophobia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Lifestyle: Smartphone Use and Its Relationship to Psychopathologies.”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Computers </w:t>
      </w:r>
      <w:r>
        <w:rPr>
          <w:rFonts w:ascii="Calibri" w:hAnsi="Calibri" w:eastAsia="Calibri"/>
          <w:b w:val="0"/>
          <w:i/>
          <w:color w:val="000000"/>
          <w:sz w:val="24"/>
        </w:rPr>
        <w:t>in Human Behavior Reports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2: 100025.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Karl, Marlene et al. 2020. “Precarious Working Conditions and Psychosocial Work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Stress Act as a Risk Factor for Symptoms of Postpartum Depression during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Maternity Leave: Results from a Longitudinal Cohort Study.”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BMC public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20: 1–11.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Kaviani, Fareed, Brady Robards, Kristie L. Young, and Sjaan Koppel. 2020. </w:t>
      </w:r>
    </w:p>
    <w:p>
      <w:pPr>
        <w:autoSpaceDN w:val="0"/>
        <w:autoSpaceDE w:val="0"/>
        <w:widowControl/>
        <w:spacing w:line="245" w:lineRule="auto" w:before="52" w:after="0"/>
        <w:ind w:left="74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“Nomophobia: Is the Fear of Being without a Smartphone Associated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Problematic Use?”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Environmental Research and Public </w:t>
      </w:r>
      <w:r>
        <w:rPr>
          <w:rFonts w:ascii="Calibri" w:hAnsi="Calibri" w:eastAsia="Calibri"/>
          <w:b w:val="0"/>
          <w:i/>
          <w:color w:val="000000"/>
          <w:sz w:val="24"/>
        </w:rPr>
        <w:t>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17(17): 6024. doi:10.3390/ijerph17176024.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Lee, Seungyeon, Minsung Kim, Jessica S Mendoza, and Ian M McDonough. 2018. </w:t>
      </w:r>
    </w:p>
    <w:p>
      <w:pPr>
        <w:autoSpaceDN w:val="0"/>
        <w:autoSpaceDE w:val="0"/>
        <w:widowControl/>
        <w:spacing w:line="245" w:lineRule="auto" w:before="52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“Addicted to Cellphones: Exploring the Psychometric Properties between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Nomophobia Questionnaire and Obsessiveness in College Students.”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Heliyon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4(11).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Morales Rodríguez, Francisco Manuel, José Miguel Giménez Lozano, Pablo Linares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Mingorance, and José Manuel Pérez-Mármol. 2020. “Influence of Smartphone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 on Emotional, Cognitive and Educational Dimensions in University Students.” </w:t>
      </w:r>
      <w:r>
        <w:rPr>
          <w:rFonts w:ascii="Calibri" w:hAnsi="Calibri" w:eastAsia="Calibri"/>
          <w:b w:val="0"/>
          <w:i/>
          <w:color w:val="000000"/>
          <w:sz w:val="24"/>
        </w:rPr>
        <w:t>Sustainability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12(16): 6646. doi:10.3390/su12166646.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Moreno-Guerrero, Antonio-José, Inmaculada Aznar-Díaz, Pilar Cáceres-Reche,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Antonio-Manuel Rodríguez-García. 2020. “Do Age, Gender and Poor Diet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Influence the Higher Prevalence of Nomophobia among Young People?”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Environmental Research and Public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17(10): 3697.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doi:10.3390/ijerph17103697.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Naser, Abdallah Y et al. 2023. “Nomophobia among University Students in Five Arab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Countries in the Middle East: Prevalence and Risk Factors.” </w:t>
      </w:r>
      <w:r>
        <w:rPr>
          <w:rFonts w:ascii="Calibri" w:hAnsi="Calibri" w:eastAsia="Calibri"/>
          <w:b w:val="0"/>
          <w:i/>
          <w:color w:val="000000"/>
          <w:sz w:val="24"/>
        </w:rPr>
        <w:t>BMC psychiatry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23(1):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541.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Sharma, Manu, Amandeep, DevendraMohan Mathur, and Jitendra Jeenger. 2019.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“Nomophobia and Its Relationship with Depression, Anxiety, and Quality of Life in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Adolescents.” </w:t>
      </w:r>
      <w:r>
        <w:rPr>
          <w:rFonts w:ascii="Calibri" w:hAnsi="Calibri" w:eastAsia="Calibri"/>
          <w:b w:val="0"/>
          <w:i/>
          <w:color w:val="000000"/>
          <w:sz w:val="24"/>
        </w:rPr>
        <w:t>Industrial Psychiatry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28(2): 231. doi:10.4103/ipj.ipj_60_18.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Vagka, Elissavet, Charalambos Gnardellis, Areti Lagiou, and Venetia Notara. 2023.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105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243 </w:t>
      </w:r>
    </w:p>
    <w:p>
      <w:pPr>
        <w:sectPr>
          <w:pgSz w:w="11911" w:h="16841"/>
          <w:pgMar w:top="220" w:right="1440" w:bottom="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Analysis of Factor Causing Nomophobia in Adolescents: A Meta- Analysis Study </w:t>
      </w:r>
    </w:p>
    <w:p>
      <w:pPr>
        <w:autoSpaceDN w:val="0"/>
        <w:autoSpaceDE w:val="0"/>
        <w:widowControl/>
        <w:spacing w:line="245" w:lineRule="auto" w:before="1066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“Prevalence and Factors Related to Nomophobia: Arising Issues among Young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Adults.”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European Journal of Investigation in Health, Psychology and Education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13(8): 1467–76. doi:10.3390/ejihpe13080107. </w:t>
      </w:r>
    </w:p>
    <w:p>
      <w:pPr>
        <w:autoSpaceDN w:val="0"/>
        <w:autoSpaceDE w:val="0"/>
        <w:widowControl/>
        <w:spacing w:line="197" w:lineRule="auto" w:before="106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214" w:lineRule="auto" w:before="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Rahma Zakia Mubarok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Irma Finuria Mustikawati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Paramita Septianawati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Glorio </w:t>
      </w:r>
    </w:p>
    <w:p>
      <w:pPr>
        <w:autoSpaceDN w:val="0"/>
        <w:autoSpaceDE w:val="0"/>
        <w:widowControl/>
        <w:spacing w:line="214" w:lineRule="auto" w:before="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Immanuel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4  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197" w:lineRule="auto" w:before="43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434" w:after="0"/>
        <w:ind w:left="0" w:right="292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8" w:after="52"/>
        <w:ind w:left="0" w:right="38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463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463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5"/>
        <w:gridCol w:w="4515"/>
      </w:tblGrid>
      <w:tr>
        <w:trPr>
          <w:trHeight w:hRule="exact" w:val="9074"/>
        </w:trPr>
        <w:tc>
          <w:tcPr>
            <w:tcW w:type="dxa" w:w="8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1" w:h="16841"/>
      <w:pgMar w:top="222" w:right="1440" w:bottom="34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rmafinurinamustikawati@ump.ac.id" TargetMode="External"/><Relationship Id="rId11" Type="http://schemas.openxmlformats.org/officeDocument/2006/relationships/hyperlink" Target="mailto:paramitaseptianawati@ump.ac.id" TargetMode="External"/><Relationship Id="rId12" Type="http://schemas.openxmlformats.org/officeDocument/2006/relationships/hyperlink" Target="mailto:glo_rio@yahoo.com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