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2"/>
        <w:ind w:left="0" w:right="0"/>
      </w:pPr>
    </w:p>
    <w:p>
      <w:pPr>
        <w:sectPr>
          <w:pgSz w:w="11906" w:h="16838"/>
          <w:pgMar w:top="802" w:right="1440" w:bottom="44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18690" cy="5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802" w:right="1440" w:bottom="440" w:left="1440" w:header="720" w:footer="720" w:gutter="0"/>
          <w:cols w:num="2" w:equalWidth="0">
            <w:col w:w="4670" w:space="0"/>
            <w:col w:w="4355" w:space="0"/>
          </w:cols>
          <w:docGrid w:linePitch="360"/>
        </w:sectPr>
      </w:pPr>
    </w:p>
    <w:p>
      <w:pPr>
        <w:autoSpaceDN w:val="0"/>
        <w:tabs>
          <w:tab w:pos="1598" w:val="left"/>
        </w:tabs>
        <w:autoSpaceDE w:val="0"/>
        <w:widowControl/>
        <w:spacing w:line="245" w:lineRule="auto" w:before="0" w:after="504"/>
        <w:ind w:left="860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Volume 5, No. 4 April, 2024 </w:t>
      </w:r>
      <w:r>
        <w:rPr>
          <w:rFonts w:ascii="Calibri" w:hAnsi="Calibri" w:eastAsia="Calibri"/>
          <w:b/>
          <w:i w:val="0"/>
          <w:color w:val="000000"/>
          <w:sz w:val="22"/>
        </w:rPr>
        <w:t>p ISSN 2723-6927-e ISSN 2723-4339</w:t>
      </w:r>
    </w:p>
    <w:p>
      <w:pPr>
        <w:sectPr>
          <w:type w:val="nextColumn"/>
          <w:pgSz w:w="11906" w:h="16838"/>
          <w:pgMar w:top="802" w:right="1440" w:bottom="440" w:left="1440" w:header="720" w:footer="720" w:gutter="0"/>
          <w:cols w:num="2" w:equalWidth="0">
            <w:col w:w="4670" w:space="0"/>
            <w:col w:w="4355" w:space="0"/>
          </w:cols>
          <w:docGrid w:linePitch="360"/>
        </w:sectPr>
      </w:pPr>
    </w:p>
    <w:p>
      <w:pPr>
        <w:autoSpaceDN w:val="0"/>
        <w:tabs>
          <w:tab w:pos="3598" w:val="left"/>
        </w:tabs>
        <w:autoSpaceDE w:val="0"/>
        <w:widowControl/>
        <w:spacing w:line="245" w:lineRule="auto" w:before="0" w:after="0"/>
        <w:ind w:left="1102" w:right="432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Examination of Calcium Oxalate Crystals In Mountain Water Consumers In </w:t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Kuningan Regency </w:t>
      </w:r>
    </w:p>
    <w:p>
      <w:pPr>
        <w:autoSpaceDN w:val="0"/>
        <w:autoSpaceDE w:val="0"/>
        <w:widowControl/>
        <w:spacing w:line="245" w:lineRule="auto" w:before="326" w:after="0"/>
        <w:ind w:left="1296" w:right="72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>Oktafirani Al Sas</w:t>
      </w:r>
      <w:r>
        <w:rPr>
          <w:rFonts w:ascii="Calibri" w:hAnsi="Calibri" w:eastAsia="Calibri"/>
          <w:b/>
          <w:i w:val="0"/>
          <w:color w:val="000000"/>
          <w:sz w:val="16"/>
        </w:rPr>
        <w:t>1*</w:t>
      </w:r>
      <w:r>
        <w:rPr>
          <w:rFonts w:ascii="Calibri" w:hAnsi="Calibri" w:eastAsia="Calibri"/>
          <w:b/>
          <w:i w:val="0"/>
          <w:color w:val="000000"/>
          <w:sz w:val="24"/>
        </w:rPr>
        <w:t>, Hery Prambudi</w:t>
      </w:r>
      <w:r>
        <w:rPr>
          <w:rFonts w:ascii="Calibri" w:hAnsi="Calibri" w:eastAsia="Calibri"/>
          <w:b/>
          <w:i w:val="0"/>
          <w:color w:val="000000"/>
          <w:sz w:val="16"/>
        </w:rPr>
        <w:t>2</w:t>
      </w:r>
      <w:r>
        <w:rPr>
          <w:rFonts w:ascii="Calibri" w:hAnsi="Calibri" w:eastAsia="Calibri"/>
          <w:b/>
          <w:i w:val="0"/>
          <w:color w:val="000000"/>
          <w:sz w:val="24"/>
        </w:rPr>
        <w:t>, Mutiara Syafitri</w:t>
      </w:r>
      <w:r>
        <w:rPr>
          <w:rFonts w:ascii="Calibri" w:hAnsi="Calibri" w:eastAsia="Calibri"/>
          <w:b/>
          <w:i w:val="0"/>
          <w:color w:val="000000"/>
          <w:sz w:val="16"/>
        </w:rPr>
        <w:t xml:space="preserve">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1,2,3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 Nasher Health Analyst Academy Cirebon, West Java, Indonesia </w:t>
      </w:r>
      <w:r>
        <w:rPr>
          <w:rFonts w:ascii="Calibri" w:hAnsi="Calibri" w:eastAsia="Calibri"/>
          <w:b w:val="0"/>
          <w:i w:val="0"/>
          <w:color w:val="000000"/>
          <w:sz w:val="24"/>
        </w:rPr>
        <w:t>Email: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462C1"/>
          <w:sz w:val="24"/>
          <w:u w:val="single"/>
        </w:rPr>
        <w:hyperlink r:id="rId10" w:history="1">
          <w:r>
            <w:rPr>
              <w:rStyle w:val="Hyperlink"/>
            </w:rPr>
            <w:t>oktafiranialsas@aakannasher.ac.id</w:t>
          </w:r>
        </w:hyperlink>
      </w:r>
    </w:p>
    <w:p>
      <w:pPr>
        <w:autoSpaceDN w:val="0"/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ABSTRACT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Urine, a byproduct of metabolism occurring in the kidneys, serves as a crucial diagnostic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medium in laboratory settings, including the microscopic examination of calcium oxalate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crystals. Influenced by various factors, such as demographics and environmental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conditions, the formation of these crystals underscores broader health considerations.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Mountain water, renowned for its mineral content, constitutes a significant source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daily hydration. However, the dominance of calcium and magnesium elements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surface water raises concerns regarding calcium oxalate crystallization. This study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investigates the prevalence of calcium oxalate crystals in mountain water consumers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within Kuningan Regency. Employing descriptive research methods and random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sampling techniques, the study examined urine samples from 38 individuals. Results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revealed calcium oxalate crystals in 11 participants, constituting 28.95% of the sample.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finding underscores the need for further research into water quality and its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implications for public health in the region. By elucidating the relationship between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water composition and urinary crystal formation, this study informs strategies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safeguarding community health and informs future policy initiatives regarding water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resource management. </w:t>
      </w:r>
    </w:p>
    <w:p>
      <w:pPr>
        <w:autoSpaceDN w:val="0"/>
        <w:autoSpaceDE w:val="0"/>
        <w:widowControl/>
        <w:spacing w:line="197" w:lineRule="auto" w:before="346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Keywords</w:t>
      </w:r>
      <w:r>
        <w:rPr>
          <w:rFonts w:ascii="Calibri" w:hAnsi="Calibri" w:eastAsia="Calibri"/>
          <w:b w:val="0"/>
          <w:i w:val="0"/>
          <w:color w:val="000000"/>
          <w:sz w:val="24"/>
        </w:rPr>
        <w:t>: Urine, Calcium Oxalate Crystals, Mountain Water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INTRODUCTION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Urine crystals are mineral deposits in the urinary tract, usually found in the pelvis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calic kidneys (Gasińska &amp; Gajewska, 2007). Crystal formation is closely related to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consumption of various salts in the urine, which is associated with the metabolism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food and fluids and the impact of changes that occur in the urine after sample collection.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Crystals are formed by depositing solutes in urine, including inorganic salts, organic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compounds, and drugs (Bargagli et al., 2020). </w:t>
      </w:r>
    </w:p>
    <w:p>
      <w:pPr>
        <w:autoSpaceDN w:val="0"/>
        <w:autoSpaceDE w:val="0"/>
        <w:widowControl/>
        <w:spacing w:line="245" w:lineRule="auto" w:before="52" w:after="0"/>
        <w:ind w:left="262" w:right="21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Calcium oxalate crystals are crystals that are found in acidic urine but can also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found in neutral urine in the urine pH range of 5.0 – 6.5 (Susilo et al., 2021). This crystal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a type of calcium stone that is often found in urine specimens, even in healthy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patients. The discovery of clumps of calcium oxalate crystals in fresh urine is associated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the formation of kidney stones. The formation of calcium oxalate crystals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influenced by several factors such as age, sex, heredity, geographical conditions, climate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weather environment, drinking habits, urinary habits, and also drugs (Susilo et al.,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2021). </w:t>
      </w:r>
    </w:p>
    <w:p>
      <w:pPr>
        <w:autoSpaceDN w:val="0"/>
        <w:tabs>
          <w:tab w:pos="8436" w:val="left"/>
        </w:tabs>
        <w:autoSpaceDE w:val="0"/>
        <w:widowControl/>
        <w:spacing w:line="197" w:lineRule="auto" w:before="74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278 </w:t>
      </w:r>
    </w:p>
    <w:p>
      <w:pPr>
        <w:sectPr>
          <w:type w:val="continuous"/>
          <w:pgSz w:w="11906" w:h="16838"/>
          <w:pgMar w:top="802" w:right="1440" w:bottom="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Oktafirani Al Sas, Hery Prambudi, Mutiara Syafitri </w:t>
      </w:r>
    </w:p>
    <w:p>
      <w:pPr>
        <w:autoSpaceDN w:val="0"/>
        <w:autoSpaceDE w:val="0"/>
        <w:widowControl/>
        <w:spacing w:line="245" w:lineRule="auto" w:before="742" w:after="0"/>
        <w:ind w:left="262" w:right="21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Indonesia is a country that has abundant natural wealth; Indonesia can even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said to be the richest country, especially in terms of water. Meanwhile, water consumed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daily must be healthy and clean water in accordance with predetermined requirements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(Herdianto et al., 2024). In Permenkes Number 492 / Menkes / Per/ 2010 concerning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drinking water quality requirements, it is stated that drinking water that is safe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human consumption, namely water that meets physical, microbiological, chemical,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radioactive requirements which are contained in mandatory parameters and additional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parameters (Lestari &amp; Fuady, 2022). This is so that the water consumed does not contain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diseases that can interfere with the human body. In general, the need for water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consumption is to drink eight glasses per day, equivalent to 2 liters (Cámara et al., 2021).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is intended to avoid the body's lack of water, where the body will become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dehydrated. Ideally, the water consumed is clear, tasteless, odorless, colorless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certainly free from pathogenic germs. </w:t>
      </w:r>
    </w:p>
    <w:p>
      <w:pPr>
        <w:autoSpaceDN w:val="0"/>
        <w:autoSpaceDE w:val="0"/>
        <w:widowControl/>
        <w:spacing w:line="245" w:lineRule="auto" w:before="54" w:after="0"/>
        <w:ind w:left="262" w:right="21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Mountain water is one of the water consumed by humans to maintain daily water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intake. Mountain water itself is of good quality, contains minerals that are in accordance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needs, and avoids pollution elements (Teixeira &amp; Gomes, 2021). </w:t>
      </w:r>
    </w:p>
    <w:p>
      <w:pPr>
        <w:autoSpaceDN w:val="0"/>
        <w:autoSpaceDE w:val="0"/>
        <w:widowControl/>
        <w:spacing w:line="245" w:lineRule="auto" w:before="54" w:after="0"/>
        <w:ind w:left="262" w:right="21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According to Effendi, mountain water quality can decrease due to increasing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population and wrong spatial planning (Effendi et al., 2018). The mineral composition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drinking water sourced from surface water (highlands/lowlands) is dominated by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calcium and magnesium elements, calcium levels (Ca2+). This is what must be watched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out for because it can result in calcium oxalate crystallization. </w:t>
      </w:r>
    </w:p>
    <w:p>
      <w:pPr>
        <w:autoSpaceDN w:val="0"/>
        <w:autoSpaceDE w:val="0"/>
        <w:widowControl/>
        <w:spacing w:line="245" w:lineRule="auto" w:before="54" w:after="0"/>
        <w:ind w:left="262" w:right="21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Urine is a product of metabolism in the body. The process of urine metabolism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body is found in the kidneys. The kidneys carry out filtration, reabsorption,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augmentation processes (Fleming, 2020). Urine can be used as one type of examination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the laboratory. Sediment examination has the benefit of detecting kidney and urinary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tract abnormalities (Gomes, 2020). Based on the description, researchers are interested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conducting a study entitled Description of calcium oxalate crystals in mountain water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consumption in Kuningan Regency. </w:t>
      </w:r>
    </w:p>
    <w:p>
      <w:pPr>
        <w:autoSpaceDN w:val="0"/>
        <w:autoSpaceDE w:val="0"/>
        <w:widowControl/>
        <w:spacing w:line="245" w:lineRule="auto" w:before="52" w:after="0"/>
        <w:ind w:left="262" w:right="21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Previous studies have explored the link between dietary factors, such as salt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intake, and the development of calcium oxalate crystals in urine. Nopiani discovered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correlation between high salt consumption and an increased risk of calcium oxalate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crystal formation (Puluhulawa &amp; Supu, 2022). Similarly, Purnomo identified several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factors influencing crystal formation, including age, gender, genetics, geography,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climate, drinking habits, and urination patterns (Muniroh, n.d.). </w:t>
      </w:r>
    </w:p>
    <w:p>
      <w:pPr>
        <w:autoSpaceDN w:val="0"/>
        <w:autoSpaceDE w:val="0"/>
        <w:widowControl/>
        <w:spacing w:line="245" w:lineRule="auto" w:before="54" w:after="0"/>
        <w:ind w:left="262" w:right="218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proposed research stands out by examining the influence of mountain water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consumption on calcium oxalate crystal formation in urine. This study aims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investigate whether consuming mountain water relates to the presence of these crystals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urine samples from Kuningan Regency residents. By analyzing the mineral content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mountain water, particularly calcium and magnesium levels, the study seeks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determine if these elements contribute to crystal formation. </w:t>
      </w:r>
    </w:p>
    <w:p>
      <w:pPr>
        <w:autoSpaceDN w:val="0"/>
        <w:autoSpaceDE w:val="0"/>
        <w:widowControl/>
        <w:spacing w:line="245" w:lineRule="auto" w:before="54" w:after="0"/>
        <w:ind w:left="262" w:right="21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Moreover, the research aims to shed light on potential health risks associated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mountain water consumption in the region, particularly regarding kidney and urinary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tract issues. The findings could inform strategies to mitigate crystal formation,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promoting better health outcomes for locals. </w:t>
      </w:r>
    </w:p>
    <w:p>
      <w:pPr>
        <w:autoSpaceDN w:val="0"/>
        <w:tabs>
          <w:tab w:pos="8404" w:val="left"/>
        </w:tabs>
        <w:autoSpaceDE w:val="0"/>
        <w:widowControl/>
        <w:spacing w:line="197" w:lineRule="auto" w:before="83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279</w:t>
      </w:r>
    </w:p>
    <w:p>
      <w:pPr>
        <w:sectPr>
          <w:pgSz w:w="11906" w:h="16838"/>
          <w:pgMar w:top="384" w:right="1440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6976" w:right="144" w:hanging="5254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Examination of calcium oxalate crystals in mountain water consumers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Kuningan Regency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450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RESEARCH METHODS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study used a qualitative descriptive research method with a cross-sectional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approach to explore the picture of calcium oxalate crystals in mountain water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consumption in Kuningan Regency. The object of this study is people who consume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mountain water in Sweet Block, Paniis Village, Pasawahan District, Kuningan Regency,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an age range of 30-60 years. Data was collected on April 3-5, 2023, at the Clinical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Laboratory of the An Nasher Health Analyst Academy Cirebon through observation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methods and filling out questionnaires. The population of this study consisted of 42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mountain water consumers, and the sample was selected using probability sampling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techniques, especially random sampling, with a total sample of 38 respondents.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data obtained were then analyzed using the SPSS statistical program and a simple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descriptive statistical test to assess the characteristics of the data obtained from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study. </w:t>
      </w:r>
    </w:p>
    <w:p>
      <w:pPr>
        <w:autoSpaceDN w:val="0"/>
        <w:autoSpaceDE w:val="0"/>
        <w:widowControl/>
        <w:spacing w:line="245" w:lineRule="auto" w:before="54" w:after="0"/>
        <w:ind w:left="262" w:right="20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results showed that of the 38 urine samples examined, most (71.05%) showed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negative results against calcium oxalate crystals. Meanwhile, a small percentage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samples showed positive results, with 10.53% showing positive results of 1, 7.89%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showing positive results of 2, and 10.53% showing positive results of 3. Further analysis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showed that the age group of 40-49 years with male sex was more likely to have positive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results of calcium oxalate crystals. The distribution of drinking water consumption also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shows that drinking water consumption &lt; 8 glasses/day has a higher proportion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positive results compared to drinking water consumption of 8 glasses/day. In addition,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habit of regularly consuming coffee/tea is also influential, where respondents who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regularly consume coffee/tea every day tend to have positive results of calcium oxalate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crystals. However, the habit of holding urine is rarely found to be associated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positive results of calcium oxalate crystals. Thus, this analysis provides a clearer picture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the factors related to the presence of calcium oxalate crystals in the urine of mountain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water consumers in Kuningan Regency.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RESULTS AND DISCUSSION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descriptive study aims to determine the picture of calcium oxalate crystals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mountain water consumption in Kuningan Regency, which was conducted at the Clinical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Laboratory of the An Nasher Health Analyst Academy Cirebon with 38 urine samples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mountain water consumption. The microscopic method is used (Mongan et al., 2017). </w:t>
      </w:r>
    </w:p>
    <w:p>
      <w:pPr>
        <w:autoSpaceDN w:val="0"/>
        <w:autoSpaceDE w:val="0"/>
        <w:widowControl/>
        <w:spacing w:line="245" w:lineRule="auto" w:before="52" w:after="0"/>
        <w:ind w:left="262" w:right="20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study begins with the stages of preparing the tools and materials to be used,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followed by taking urine samples while on respondents. The sample obtained is given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sample number as a sequence number. A urine sample is inserted into a tube of 7-8 ml.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Then, a urine strip is inserted to stage a chemical examination of the urine. </w:t>
      </w:r>
    </w:p>
    <w:p>
      <w:pPr>
        <w:autoSpaceDN w:val="0"/>
        <w:autoSpaceDE w:val="0"/>
        <w:widowControl/>
        <w:spacing w:line="245" w:lineRule="auto" w:before="52" w:after="0"/>
        <w:ind w:left="262" w:right="20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Urine is centrifuged at a speed of 2000 rpm for 5 minutes to obtain a precipitate.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Centrifuge results in the form of deposits used to identify the type of urine sediment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(Yan et al., 2021). Taken as much as one drop dripped on a glass object and covered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glass cover. Then, it is observed using a microscope with a magnification of 10x (small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field of view). Then, the results are recorded and interpreted. </w:t>
      </w:r>
    </w:p>
    <w:p>
      <w:pPr>
        <w:autoSpaceDN w:val="0"/>
        <w:autoSpaceDE w:val="0"/>
        <w:widowControl/>
        <w:spacing w:line="245" w:lineRule="auto" w:before="5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research that has been conducted on the picture of calcium oxalate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crystals in mountain water consumption in Kuningan Regency, from 38 samples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examined, 27 samples (71.05%) showed negative results, four samples (10.53%) showed </w:t>
      </w:r>
    </w:p>
    <w:p>
      <w:pPr>
        <w:autoSpaceDN w:val="0"/>
        <w:tabs>
          <w:tab w:pos="8436" w:val="left"/>
        </w:tabs>
        <w:autoSpaceDE w:val="0"/>
        <w:widowControl/>
        <w:spacing w:line="197" w:lineRule="auto" w:before="85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280</w:t>
      </w:r>
    </w:p>
    <w:p>
      <w:pPr>
        <w:sectPr>
          <w:pgSz w:w="11906" w:h="16838"/>
          <w:pgMar w:top="384" w:right="1440" w:bottom="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Oktafirani Al Sas, Hery Prambudi, Mutiara Syafitri </w:t>
      </w:r>
    </w:p>
    <w:p>
      <w:pPr>
        <w:autoSpaceDN w:val="0"/>
        <w:autoSpaceDE w:val="0"/>
        <w:widowControl/>
        <w:spacing w:line="245" w:lineRule="auto" w:before="742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positive results 1, 3 samples (7.89%) showed positive results 2, and 4 samples (10.53%)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showed positive results (Mongan et al., 2017).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presence of calcium oxalate crystals in mountain water consumption indicates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that there is a disturbance in kidney function. This indicates the occurrence of urinary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tract stones. Various factors support the occurrence, such as age, gender, drinking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habits, and urination habits (Gürler &amp; Gündüz, 2021). </w:t>
      </w:r>
    </w:p>
    <w:p>
      <w:pPr>
        <w:autoSpaceDN w:val="0"/>
        <w:autoSpaceDE w:val="0"/>
        <w:widowControl/>
        <w:spacing w:line="245" w:lineRule="auto" w:before="5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Age is one of the influential factors in obtaining positive results of calcium oxalate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crystals in the urine of mountain water consumers with an age range of 40-49 years.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results of this study are not much different from Purnomo's theory that urinary tract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stones are commonly found in adults between the ages of 30-60 years (Puluhulawa &amp;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Supu, 2022). </w:t>
      </w:r>
    </w:p>
    <w:p>
      <w:pPr>
        <w:autoSpaceDN w:val="0"/>
        <w:autoSpaceDE w:val="0"/>
        <w:widowControl/>
        <w:spacing w:line="245" w:lineRule="auto" w:before="56" w:after="0"/>
        <w:ind w:left="262" w:right="20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Then that becomes one of the next factors in terms of sex, where the male sex has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higher risk level of finding calcium oxalate crystals than women. This is due to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presence of the hormone testosterone, which is one of the factors that can increase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endogenous oxalate production in the liver. At the same time, women have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hormone estrogen, which acts as an inhibitor of calcium salt aggregation and decreases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oxalate excretion. The length of the human ureter is 20-30 cm, and the urinary tract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males is narrower than that of females. Men are more active than women, although not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100%. These are some of the factors that affect men more at risk than women (LaFavers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 al., 2023). </w:t>
      </w:r>
    </w:p>
    <w:p>
      <w:pPr>
        <w:autoSpaceDN w:val="0"/>
        <w:autoSpaceDE w:val="0"/>
        <w:widowControl/>
        <w:spacing w:line="245" w:lineRule="auto" w:before="5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next factor that becomes a factor in the discovery of calcium oxalate crystals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the consumption of water in meeting fluid intake in the body. The condition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body will decrease if the body's water content decreases and does not immediately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meet the adequacy of drinking water. For this reason, it is recommended to consume 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least eight glasses or 2 liters of water a day so that the amount of urine released will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increase and reduce the concentration of salts and minerals in the body. In the body,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water plays an important role in preventing kidney disease by reducing the possibility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calcium oxalate crystals in the urinary tract. </w:t>
      </w:r>
    </w:p>
    <w:p>
      <w:pPr>
        <w:autoSpaceDN w:val="0"/>
        <w:autoSpaceDE w:val="0"/>
        <w:widowControl/>
        <w:spacing w:line="245" w:lineRule="auto" w:before="52" w:after="0"/>
        <w:ind w:left="262" w:right="208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Next, in terms of coffee consumption, coffee is one of the drinks that contain oxalic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acid. Consumption of too much coffee can cause substances (oxalic acid) to combine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calcium and then form calcium oxalate crystals in the kidneys or bladder. Caffeine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a coffee content that can also affect the formation of urinary tract stones. In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human body, caffeine content has mixed effects in that some people will experience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effects directly, while others do not feel it at all. This is related to the genetic traits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each individual has and the body's metabolic ability to digest caffeine.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the other hand, holding back urination is the same as letting waste, dirt,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toxins that should come out. Urine that is held for too long can have a negative impact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the urinary tract or urinary system because, in urine, there are many harmful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substances. The habit of holding urine will cause static urine, which can be a risk factor </w:t>
      </w:r>
      <w:r>
        <w:rPr>
          <w:rFonts w:ascii="Calibri" w:hAnsi="Calibri" w:eastAsia="Calibri"/>
          <w:b w:val="0"/>
          <w:i w:val="0"/>
          <w:color w:val="000000"/>
          <w:sz w:val="24"/>
        </w:rPr>
        <w:t>for urolithiasis and urinary tract infections.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0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CONCLUSION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results of research and discussion on the Description of Calcium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Oxalate Crystals in Mountain Water Consumption in Kuningan Regency, it was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concluded that there were 11 people consuming mountain water in Kuningan Regency </w:t>
      </w:r>
    </w:p>
    <w:p>
      <w:pPr>
        <w:autoSpaceDN w:val="0"/>
        <w:tabs>
          <w:tab w:pos="8404" w:val="left"/>
        </w:tabs>
        <w:autoSpaceDE w:val="0"/>
        <w:widowControl/>
        <w:spacing w:line="197" w:lineRule="auto" w:before="37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281</w:t>
      </w:r>
    </w:p>
    <w:p>
      <w:pPr>
        <w:sectPr>
          <w:pgSz w:w="11906" w:h="16838"/>
          <w:pgMar w:top="384" w:right="1440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6976" w:right="144" w:hanging="5254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Examination of calcium oxalate crystals in mountain water consumers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Kuningan Regency </w:t>
      </w:r>
    </w:p>
    <w:p>
      <w:pPr>
        <w:autoSpaceDN w:val="0"/>
        <w:autoSpaceDE w:val="0"/>
        <w:widowControl/>
        <w:spacing w:line="245" w:lineRule="auto" w:before="450" w:after="0"/>
        <w:ind w:left="262" w:right="20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who had calcium oxalate crystals, covering around 28.95% of the total respondents.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suggestions given include adding other variables in future studies by paying attention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factors that cause urinary tract stone disease, the use of research results 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reference material in the preparation of guidelines for lectures oriented to research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innovation, as well as recommendations for respondents to regulate lifestyle and fluid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intake to minimize the risk of calcium oxalate crystals in urine and reduce the incidence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urinary tract stones. </w:t>
      </w:r>
    </w:p>
    <w:p>
      <w:pPr>
        <w:autoSpaceDN w:val="0"/>
        <w:autoSpaceDE w:val="0"/>
        <w:widowControl/>
        <w:spacing w:line="197" w:lineRule="auto" w:before="508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REFERENCES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Bargagli, Matteo, Tio, Maria Clarissa, Waikar, Sushrut S., &amp; Ferraro, Pietro Manuel.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(2020). Dietary oxalate intake and kidney outcomes. </w:t>
      </w:r>
      <w:r>
        <w:rPr>
          <w:rFonts w:ascii="Calibri" w:hAnsi="Calibri" w:eastAsia="Calibri"/>
          <w:b w:val="0"/>
          <w:i/>
          <w:color w:val="000000"/>
          <w:sz w:val="24"/>
        </w:rPr>
        <w:t>Nutrients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12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(9), 2673. </w:t>
      </w:r>
    </w:p>
    <w:p>
      <w:pPr>
        <w:autoSpaceDN w:val="0"/>
        <w:autoSpaceDE w:val="0"/>
        <w:widowControl/>
        <w:spacing w:line="245" w:lineRule="auto" w:before="52" w:after="28"/>
        <w:ind w:left="742" w:right="204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Cámara, Montaña, Giner, Rosa María, González-Fandos, Elena, López-García, Esther,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Mañes, Jordi, Portillo, María P., Rafecas, Magdalena, Domínguez, Laura, &amp;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Martínez, José Alfredo. (2021). Food-based dietary guidelines around the world: 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rPr>
          <w:trHeight w:hRule="exact" w:val="292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3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comparative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analysis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to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update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AESAN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scientific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committee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dietary </w:t>
            </w:r>
          </w:p>
        </w:tc>
      </w:tr>
    </w:tbl>
    <w:p>
      <w:pPr>
        <w:autoSpaceDN w:val="0"/>
        <w:autoSpaceDE w:val="0"/>
        <w:widowControl/>
        <w:spacing w:line="197" w:lineRule="auto" w:before="28" w:after="0"/>
        <w:ind w:left="7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recommendations. </w:t>
      </w:r>
      <w:r>
        <w:rPr>
          <w:rFonts w:ascii="Calibri" w:hAnsi="Calibri" w:eastAsia="Calibri"/>
          <w:b w:val="0"/>
          <w:i/>
          <w:color w:val="000000"/>
          <w:sz w:val="24"/>
        </w:rPr>
        <w:t>Nutrients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(9), 3131. </w:t>
      </w:r>
    </w:p>
    <w:p>
      <w:pPr>
        <w:autoSpaceDN w:val="0"/>
        <w:autoSpaceDE w:val="0"/>
        <w:widowControl/>
        <w:spacing w:line="245" w:lineRule="auto" w:before="54" w:after="0"/>
        <w:ind w:left="742" w:right="204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Effendi, Hefni, Permatasari, Prita Ayu, &amp; Muslimah, Sri. (2018). Water quality of Cisadane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River based on watershed segmentation.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IOP Conference Series: Earth and </w:t>
      </w:r>
      <w:r>
        <w:rPr>
          <w:rFonts w:ascii="Calibri" w:hAnsi="Calibri" w:eastAsia="Calibri"/>
          <w:b w:val="0"/>
          <w:i/>
          <w:color w:val="000000"/>
          <w:sz w:val="24"/>
        </w:rPr>
        <w:t>Environmental Science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149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12023. IOP Publishing.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Fleming, Stewart. (2020). The kidneys. In </w:t>
      </w:r>
      <w:r>
        <w:rPr>
          <w:rFonts w:ascii="Calibri" w:hAnsi="Calibri" w:eastAsia="Calibri"/>
          <w:b w:val="0"/>
          <w:i/>
          <w:color w:val="000000"/>
          <w:sz w:val="24"/>
        </w:rPr>
        <w:t>Muir’s Textbook of Pathology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(pp. 379–404).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CRC Press. </w:t>
      </w:r>
    </w:p>
    <w:p>
      <w:pPr>
        <w:autoSpaceDN w:val="0"/>
        <w:autoSpaceDE w:val="0"/>
        <w:widowControl/>
        <w:spacing w:line="245" w:lineRule="auto" w:before="54" w:after="0"/>
        <w:ind w:left="742" w:right="202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Gasińska, ANNA, &amp; Gajewska, DANUTA. (2007). Tea and coffee as the main sources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oxalate in diets of patients with kidney oxalate stones. </w:t>
      </w:r>
      <w:r>
        <w:rPr>
          <w:rFonts w:ascii="Calibri" w:hAnsi="Calibri" w:eastAsia="Calibri"/>
          <w:b w:val="0"/>
          <w:i/>
          <w:color w:val="000000"/>
          <w:sz w:val="24"/>
        </w:rPr>
        <w:t>Rocz Panstw Zakl Hig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58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61–67.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Gomes, Glísia Mendes Tavares. (2020). Urinalysis: Sediment examination, currently, a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liquid kidney biopsy? </w:t>
      </w:r>
      <w:r>
        <w:rPr>
          <w:rFonts w:ascii="Calibri" w:hAnsi="Calibri" w:eastAsia="Calibri"/>
          <w:b w:val="0"/>
          <w:i/>
          <w:color w:val="000000"/>
          <w:sz w:val="24"/>
        </w:rPr>
        <w:t>Nephrol Renal Dis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5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1–6.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Gürler, Hesna, &amp; Gündüz, Emine Selda. (2021). Risk factors in urinary stones: A case–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control study. </w:t>
      </w:r>
      <w:r>
        <w:rPr>
          <w:rFonts w:ascii="Calibri" w:hAnsi="Calibri" w:eastAsia="Calibri"/>
          <w:b w:val="0"/>
          <w:i/>
          <w:color w:val="000000"/>
          <w:sz w:val="24"/>
        </w:rPr>
        <w:t>International Journal of Urological Nursing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15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(3), 117–122. </w:t>
      </w:r>
    </w:p>
    <w:p>
      <w:pPr>
        <w:autoSpaceDN w:val="0"/>
        <w:autoSpaceDE w:val="0"/>
        <w:widowControl/>
        <w:spacing w:line="245" w:lineRule="auto" w:before="54" w:after="0"/>
        <w:ind w:left="742" w:right="202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Herdianto, Tedi, Wahyuningsih, Olyvia, Fatimah, Riky, &amp; Azzahra, Adelia. (2024). Energy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Access in Mountain Arba Hill, Jango Village From The Perspective of Community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Environmental Justice. </w:t>
      </w:r>
      <w:r>
        <w:rPr>
          <w:rFonts w:ascii="Calibri" w:hAnsi="Calibri" w:eastAsia="Calibri"/>
          <w:b w:val="0"/>
          <w:i/>
          <w:color w:val="000000"/>
          <w:sz w:val="24"/>
        </w:rPr>
        <w:t>International Journal of Social Service and Research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4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(03),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1091–1098. </w:t>
      </w:r>
    </w:p>
    <w:p>
      <w:pPr>
        <w:autoSpaceDN w:val="0"/>
        <w:autoSpaceDE w:val="0"/>
        <w:widowControl/>
        <w:spacing w:line="245" w:lineRule="auto" w:before="54" w:after="0"/>
        <w:ind w:left="742" w:right="144" w:hanging="48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LaFavers, Kaice A., Gaddy, Anna R., Micanovic, Radmila, Lingeman, James, Williams Jr,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James C., Coe, Fredric L., El-Achkar, Tarek M., &amp; Worcester, Elaine. (2023). Water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loading and uromodulin secretion in healthy individuals and idiopathic calcium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stone formers. </w:t>
      </w:r>
      <w:r>
        <w:rPr>
          <w:rFonts w:ascii="Calibri" w:hAnsi="Calibri" w:eastAsia="Calibri"/>
          <w:b w:val="0"/>
          <w:i/>
          <w:color w:val="000000"/>
          <w:sz w:val="24"/>
        </w:rPr>
        <w:t>Clinical Journal of the American Society of Nephrology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18</w:t>
      </w:r>
      <w:r>
        <w:rPr>
          <w:rFonts w:ascii="Calibri" w:hAnsi="Calibri" w:eastAsia="Calibri"/>
          <w:b w:val="0"/>
          <w:i w:val="0"/>
          <w:color w:val="000000"/>
          <w:sz w:val="24"/>
        </w:rPr>
        <w:t>(8), 1059–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1067. </w:t>
      </w:r>
    </w:p>
    <w:p>
      <w:pPr>
        <w:autoSpaceDN w:val="0"/>
        <w:autoSpaceDE w:val="0"/>
        <w:widowControl/>
        <w:spacing w:line="245" w:lineRule="auto" w:before="54" w:after="0"/>
        <w:ind w:left="742" w:right="204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Lestari, Mega Fia, &amp; Fuady, Muhammad Ikram Nur. (2022). Sosialisasi Persyaratan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Kualitas Air Minum Sesuai Peraturan Menteri Kesehatan Republik Indonesia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Nomor: 492/MENKES/PER/IV/2010 di Kabupaten Bantaeng.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Dinamisia: Jurnal </w:t>
      </w:r>
      <w:r>
        <w:rPr>
          <w:rFonts w:ascii="Calibri" w:hAnsi="Calibri" w:eastAsia="Calibri"/>
          <w:b w:val="0"/>
          <w:i/>
          <w:color w:val="000000"/>
          <w:sz w:val="24"/>
        </w:rPr>
        <w:t>Pengabdian Kepada Masyarakat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6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(4), 1079–1086. </w:t>
      </w:r>
    </w:p>
    <w:p>
      <w:pPr>
        <w:autoSpaceDN w:val="0"/>
        <w:autoSpaceDE w:val="0"/>
        <w:widowControl/>
        <w:spacing w:line="245" w:lineRule="auto" w:before="52" w:after="0"/>
        <w:ind w:left="742" w:right="202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Mongan, Ruth, Supiati, Supiati, &amp; Mangiri, Susi. (2017). Gambaran Sedimen Urine Pada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Masyarakat Yang Mengkonsumsi Air Pegunungan Di Kecamatan Kendari Barat Kota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Kendari. </w:t>
      </w:r>
      <w:r>
        <w:rPr>
          <w:rFonts w:ascii="Calibri" w:hAnsi="Calibri" w:eastAsia="Calibri"/>
          <w:b w:val="0"/>
          <w:i/>
          <w:color w:val="000000"/>
          <w:sz w:val="24"/>
        </w:rPr>
        <w:t>Jurnal Teknologi Laboratorium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6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18–24. </w:t>
      </w:r>
    </w:p>
    <w:p>
      <w:pPr>
        <w:autoSpaceDN w:val="0"/>
        <w:tabs>
          <w:tab w:pos="8436" w:val="left"/>
        </w:tabs>
        <w:autoSpaceDE w:val="0"/>
        <w:widowControl/>
        <w:spacing w:line="197" w:lineRule="auto" w:before="69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282</w:t>
      </w:r>
    </w:p>
    <w:p>
      <w:pPr>
        <w:sectPr>
          <w:pgSz w:w="11906" w:h="16838"/>
          <w:pgMar w:top="384" w:right="1440" w:bottom="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Oktafirani Al Sas, Hery Prambudi, Mutiara Syafitri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742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Muniroh, Muflihatul. (n.d.).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The differences of Peak Expiratory Flow Rate Before and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After Vertical Run and Jogging Exercise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45" w:lineRule="auto" w:before="54" w:after="0"/>
        <w:ind w:left="742" w:right="202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Puluhulawa, Novendra, &amp; Supu, Rini Daud. (2022). Identification of Calcium Oxalate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Urine Sediment for Consuming Caffeinated Drinks at Pauwo Village in 2021.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Journal </w:t>
      </w:r>
      <w:r>
        <w:rPr>
          <w:rFonts w:ascii="Calibri" w:hAnsi="Calibri" w:eastAsia="Calibri"/>
          <w:b w:val="0"/>
          <w:i/>
          <w:color w:val="000000"/>
          <w:sz w:val="24"/>
        </w:rPr>
        <w:t>of Health, Technology and Science (JHTS)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(4), 20–28. 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Susilo, Jatmiko, Purwanto, Bambang, Doewes, Muchsin, &amp; Indarto, Dono. (2021). </w:t>
      </w:r>
    </w:p>
    <w:p>
      <w:pPr>
        <w:autoSpaceDN w:val="0"/>
        <w:autoSpaceDE w:val="0"/>
        <w:widowControl/>
        <w:spacing w:line="245" w:lineRule="auto" w:before="52" w:after="0"/>
        <w:ind w:left="742" w:right="20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Calcium Oxalate Crystals: Epidemiology, Causes, Modeling Of Crystal Formation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Treatment Management. </w:t>
      </w:r>
      <w:r>
        <w:rPr>
          <w:rFonts w:ascii="Calibri" w:hAnsi="Calibri" w:eastAsia="Calibri"/>
          <w:b w:val="0"/>
          <w:i/>
          <w:color w:val="000000"/>
          <w:sz w:val="24"/>
        </w:rPr>
        <w:t>Journal of Pharmaceutical Sciences and Research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118–123. </w:t>
      </w:r>
    </w:p>
    <w:p>
      <w:pPr>
        <w:autoSpaceDN w:val="0"/>
        <w:autoSpaceDE w:val="0"/>
        <w:widowControl/>
        <w:spacing w:line="245" w:lineRule="auto" w:before="54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Teixeira, Frederico J., &amp; Gomes, Celso S. F. (2021). Mineral water: Essential to life, health,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wellness. In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Minerals latu sensu and Human Health: Benefits, Toxicity and </w:t>
      </w:r>
      <w:r>
        <w:rPr>
          <w:rFonts w:ascii="Calibri" w:hAnsi="Calibri" w:eastAsia="Calibri"/>
          <w:b w:val="0"/>
          <w:i/>
          <w:color w:val="000000"/>
          <w:sz w:val="24"/>
        </w:rPr>
        <w:t>Pathologies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(pp. 517–556). Springer. </w:t>
      </w:r>
    </w:p>
    <w:p>
      <w:pPr>
        <w:autoSpaceDN w:val="0"/>
        <w:autoSpaceDE w:val="0"/>
        <w:widowControl/>
        <w:spacing w:line="245" w:lineRule="auto" w:before="52" w:after="0"/>
        <w:ind w:left="742" w:right="144" w:hanging="48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Yan, Zhengxu, Cheng, Shikun, Zhang, Jian, Saroj, Devendra P., Mang, Heinz Peter, Han,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Yanzhao, Zhang, Lingling, Basandorj, Davaa, Zheng, Lei, &amp; Li, Zifu. (2021). </w:t>
      </w:r>
    </w:p>
    <w:p>
      <w:pPr>
        <w:autoSpaceDN w:val="0"/>
        <w:autoSpaceDE w:val="0"/>
        <w:widowControl/>
        <w:spacing w:line="245" w:lineRule="auto" w:before="52" w:after="0"/>
        <w:ind w:left="74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Precipitation in urine source separation systems: Challenges for large-scale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practical applications. </w:t>
      </w:r>
      <w:r>
        <w:rPr>
          <w:rFonts w:ascii="Calibri" w:hAnsi="Calibri" w:eastAsia="Calibri"/>
          <w:b w:val="0"/>
          <w:i/>
          <w:color w:val="000000"/>
          <w:sz w:val="24"/>
        </w:rPr>
        <w:t>Resources, Conservation and Recycling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169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105479. </w:t>
      </w:r>
    </w:p>
    <w:p>
      <w:pPr>
        <w:autoSpaceDN w:val="0"/>
        <w:autoSpaceDE w:val="0"/>
        <w:widowControl/>
        <w:spacing w:line="197" w:lineRule="auto" w:before="392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Copyright Holder: </w:t>
      </w:r>
    </w:p>
    <w:p>
      <w:pPr>
        <w:autoSpaceDN w:val="0"/>
        <w:autoSpaceDE w:val="0"/>
        <w:widowControl/>
        <w:spacing w:line="197" w:lineRule="auto" w:before="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Oktafirani Al Sas, Hery Prambudi, Mutiara Syafitri </w:t>
      </w:r>
      <w:r>
        <w:rPr>
          <w:rFonts w:ascii="Calibri" w:hAnsi="Calibri" w:eastAsia="Calibri"/>
          <w:b w:val="0"/>
          <w:i w:val="0"/>
          <w:color w:val="000000"/>
          <w:sz w:val="24"/>
        </w:rPr>
        <w:t>(2024)</w:t>
      </w:r>
    </w:p>
    <w:p>
      <w:pPr>
        <w:autoSpaceDN w:val="0"/>
        <w:autoSpaceDE w:val="0"/>
        <w:widowControl/>
        <w:spacing w:line="197" w:lineRule="auto" w:before="434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First Publication Right: </w:t>
      </w:r>
    </w:p>
    <w:p>
      <w:pPr>
        <w:autoSpaceDN w:val="0"/>
        <w:autoSpaceDE w:val="0"/>
        <w:widowControl/>
        <w:spacing w:line="197" w:lineRule="auto" w:before="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 </w:t>
      </w:r>
    </w:p>
    <w:p>
      <w:pPr>
        <w:autoSpaceDN w:val="0"/>
        <w:autoSpaceDE w:val="0"/>
        <w:widowControl/>
        <w:spacing w:line="197" w:lineRule="auto" w:before="436" w:after="0"/>
        <w:ind w:left="0" w:right="291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This article is licensed under: </w:t>
      </w:r>
    </w:p>
    <w:p>
      <w:pPr>
        <w:autoSpaceDN w:val="0"/>
        <w:autoSpaceDE w:val="0"/>
        <w:widowControl/>
        <w:spacing w:line="240" w:lineRule="auto" w:before="46" w:after="50"/>
        <w:ind w:left="0" w:right="380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38200" cy="2959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91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513"/>
        <w:gridCol w:w="4513"/>
      </w:tblGrid>
      <w:tr>
        <w:trPr>
          <w:trHeight w:hRule="exact" w:val="5762"/>
        </w:trPr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6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Jurnal Health Sains, Vol. 5, No. 4, April 2024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1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283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84" w:right="1440" w:bottom="58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oktafiranialsas@aakannasher.ac.id" TargetMode="Externa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