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sectPr>
          <w:pgSz w:w="11909" w:h="16834"/>
          <w:pgMar w:top="802" w:right="1440" w:bottom="508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869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9" w:h="16834"/>
          <w:pgMar w:top="802" w:right="1440" w:bottom="508" w:left="1440" w:header="720" w:footer="720" w:gutter="0"/>
          <w:cols w:num="2" w:equalWidth="0">
            <w:col w:w="4672" w:space="0"/>
            <w:col w:w="4355" w:space="0"/>
          </w:cols>
          <w:docGrid w:linePitch="360"/>
        </w:sectPr>
      </w:pPr>
    </w:p>
    <w:p>
      <w:pPr>
        <w:autoSpaceDN w:val="0"/>
        <w:tabs>
          <w:tab w:pos="1598" w:val="left"/>
        </w:tabs>
        <w:autoSpaceDE w:val="0"/>
        <w:widowControl/>
        <w:spacing w:line="245" w:lineRule="auto" w:before="0" w:after="346"/>
        <w:ind w:left="862" w:right="144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Volume 5, No. 4 April, 2024 </w:t>
      </w:r>
      <w:r>
        <w:rPr>
          <w:rFonts w:ascii="Calibri" w:hAnsi="Calibri" w:eastAsia="Calibri"/>
          <w:b/>
          <w:i w:val="0"/>
          <w:color w:val="000000"/>
          <w:sz w:val="22"/>
        </w:rPr>
        <w:t>p ISSN 2723-6927-e ISSN 2723-4339</w:t>
      </w:r>
    </w:p>
    <w:p>
      <w:pPr>
        <w:sectPr>
          <w:type w:val="nextColumn"/>
          <w:pgSz w:w="11909" w:h="16834"/>
          <w:pgMar w:top="802" w:right="1440" w:bottom="508" w:left="1440" w:header="720" w:footer="720" w:gutter="0"/>
          <w:cols w:num="2" w:equalWidth="0">
            <w:col w:w="4672" w:space="0"/>
            <w:col w:w="435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8" w:right="288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Analysing the Spiritual Effects of Emotional Freedom Technology (SEFT) in Building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Psychological Well-being: Systematic Literature Review </w:t>
      </w:r>
    </w:p>
    <w:p>
      <w:pPr>
        <w:autoSpaceDN w:val="0"/>
        <w:autoSpaceDE w:val="0"/>
        <w:widowControl/>
        <w:spacing w:line="245" w:lineRule="auto" w:before="344" w:after="0"/>
        <w:ind w:left="576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Devani Widya Rachmawardany¹, Irma Finurina Mustikawati², Paramita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Septianawati³, </w:t>
      </w:r>
      <w:r>
        <w:rPr>
          <w:shd w:val="clear" w:color="auto" w:fill="fcfcfc"/>
          <w:rFonts w:ascii="Calibri" w:hAnsi="Calibri" w:eastAsia="Calibri"/>
          <w:b/>
          <w:i w:val="0"/>
          <w:color w:val="000000"/>
          <w:sz w:val="24"/>
        </w:rPr>
        <w:t>Glorio Immanuel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⁴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1,2,3,4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Faculty of Medicine, Universitas Muhammadiyah Purwokerto, Central Java,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Indonesia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Email: </w:t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2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irmafinurinamustikawati@ump.ac.id,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1" w:history="1">
          <w:r>
            <w:rPr>
              <w:rStyle w:val="Hyperlink"/>
            </w:rPr>
            <w:t>3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paramitaseptianawati@ump.ac.id,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2" w:history="1">
          <w:r>
            <w:rPr>
              <w:rStyle w:val="Hyperlink"/>
            </w:rPr>
            <w:t>4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glo_rio@yahoo.com </w:t>
          </w:r>
        </w:hyperlink>
      </w:r>
    </w:p>
    <w:p>
      <w:pPr>
        <w:autoSpaceDN w:val="0"/>
        <w:autoSpaceDE w:val="0"/>
        <w:widowControl/>
        <w:spacing w:line="245" w:lineRule="auto" w:before="348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Spiritual emotional freedom techniques (SEFT) influence psychological well-being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because psychological well-being is an individual's ability to prosper with all one's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abilities and weaknesses cope with life's stresses, can work productively and fruitfully.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method used is a systematic literature review by collecting various literature,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namely Scopus, and PubMed. Using SEFT keywords; psychological well-being, effects.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results of several studies indicate that there is an influence of SEFT in developing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psychological well-being. SEFT is carried out with the power of prayer and tapping 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several points will influence the level of stress. SEFT therapy can be applied in the field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clinical practice to support patient care. </w:t>
      </w:r>
    </w:p>
    <w:p>
      <w:pPr>
        <w:autoSpaceDN w:val="0"/>
        <w:autoSpaceDE w:val="0"/>
        <w:widowControl/>
        <w:spacing w:line="197" w:lineRule="auto" w:before="346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Keywords: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effects, psychological well-being, SEFT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SEFT is a psychological support technique that focuses on holistic and spiritual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well-being. The Emotional Freedom Technique (EFT) uses emotions and physical touch,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often combined with prayer, to bring about significant emotional and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transformations (Maryana &amp; Dewi, 2021). Through practices like the Spiritual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Emotional Freedom Technique (SEFT), which integrates spirituality through prayer,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sincerity, and surrender, alongside psychological energy techniques, individuals can tap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into the body's energy system to enhance their mental state, emotions, and behaviour.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SEFT simplifies this process through techniques such as set-up, tune-up, and tap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(Hidayat et al., 2021). </w:t>
      </w:r>
    </w:p>
    <w:p>
      <w:pPr>
        <w:autoSpaceDN w:val="0"/>
        <w:autoSpaceDE w:val="0"/>
        <w:widowControl/>
        <w:spacing w:line="245" w:lineRule="auto" w:before="52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application of SEFT, when negative emotions disappear and positive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emotions are transformed, the person is asked the following question: ''What do you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think the meaning of all these experiences is?'' This question allows individuals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recognise that adverse experiences can offer fresh insights and perspectives in life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(Lina et al., 2019). Negative psychological well-being encompasses enduring stress,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depression, anxiety, anger, pessimism, and discontentment with one's present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circumstances.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Conversely, positive psychological health encompasses various facets, such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optimism, gratitude, purpose, resilience, positive influence, and happiness. Studies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indicated that positive psychological well-being not only contributes to improved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47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293 </w:t>
      </w:r>
    </w:p>
    <w:p>
      <w:pPr>
        <w:sectPr>
          <w:type w:val="continuous"/>
          <w:pgSz w:w="11909" w:h="16834"/>
          <w:pgMar w:top="802" w:right="144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Analysing the Spiritual Effects of Emotional Freedom Technology (SEFT) in Building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Psychological Well-being: Systematic Literature Review </w:t>
      </w:r>
    </w:p>
    <w:p>
      <w:pPr>
        <w:autoSpaceDN w:val="0"/>
        <w:autoSpaceDE w:val="0"/>
        <w:widowControl/>
        <w:spacing w:line="245" w:lineRule="auto" w:before="450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but also leads to better social and economic outcomes </w:t>
      </w:r>
      <w:r>
        <w:rPr>
          <w:rFonts w:ascii="Calibri" w:hAnsi="Calibri" w:eastAsia="Calibri"/>
          <w:b w:val="0"/>
          <w:i w:val="0"/>
          <w:color w:val="221F1F"/>
          <w:sz w:val="24"/>
        </w:rPr>
        <w:t xml:space="preserve">(Vivolo et al., 2024).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Positive psychology focuses on improving psychological well-being and positive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outcomes. A key aspect of psychological well-being is the resilience of academic </w:t>
      </w:r>
      <w:r>
        <w:rPr>
          <w:rFonts w:ascii="Calibri" w:hAnsi="Calibri" w:eastAsia="Calibri"/>
          <w:b w:val="0"/>
          <w:i w:val="0"/>
          <w:color w:val="000000"/>
          <w:sz w:val="24"/>
        </w:rPr>
        <w:t>abilities (Li &amp; Hasson, 2020)</w:t>
      </w:r>
      <w:r>
        <w:rPr>
          <w:rFonts w:ascii="Calibri" w:hAnsi="Calibri" w:eastAsia="Calibri"/>
          <w:b w:val="0"/>
          <w:i w:val="0"/>
          <w:color w:val="221F1F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Spirituality could play a role in enhancing our understanding of the positive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impacts of nature on psychological well-being. According to ecopsychology theory,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formation of a person's 'ecological self' emerges as a result of feeling deeply connected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the natural world, encompassing both its physical and spiritual dimensions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(Koburtay &amp; Alzoubi, 2021). </w:t>
      </w:r>
    </w:p>
    <w:p>
      <w:pPr>
        <w:autoSpaceDN w:val="0"/>
        <w:autoSpaceDE w:val="0"/>
        <w:widowControl/>
        <w:spacing w:line="245" w:lineRule="auto" w:before="54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Covid patients, research has found that there are psychological and social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impacts on different population groups. The impact on psychological well-being,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namely post-traumatic stress disorder, anxiety and depression (De Kock et al., 2021).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 who have spiritual health always obey the Almighty, and their lives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meaningful and have a purpose, the spiritual element in the intervention will also add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strengthening effect that will create a feeling of sincerity, accept any situation with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fortitude, hope for healing, and be able to take lessons (Lopez et al., 2020).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also shows a relationship between depression and SEFT. Depression is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condition characterised by alterations in mood, cognition, and behaviour. In 2018, it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was reported that approximately 6.2% of the population in the East Kalimantan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province experienced depression, with an estimated 1.4 million individuals suffering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mental health issues. SEFT, among other counselling methods, is considered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innovative approach to addressing such challenges (Thalib &amp; Saleh, n.d.). </w:t>
      </w:r>
    </w:p>
    <w:p>
      <w:pPr>
        <w:autoSpaceDN w:val="0"/>
        <w:autoSpaceDE w:val="0"/>
        <w:widowControl/>
        <w:spacing w:line="245" w:lineRule="auto" w:before="52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SEFT can have an effect on reducing anxiety levels. However, it is important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approach using an open mind and considering different individuals. Always consult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qualified therapist for personalised guidance and support.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8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RESEARCHED METHODS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research methodology entails conducting a literature review following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Preferred Reporting Items for Literature Reviews guidelines. Electronic databases such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PubMed and Scopus were utilised to search for articles. The search criteria were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adjusted based on predefined inclusion and exclusion criteria, employing specific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frameworks and keywords to identify relevant literature. The primary keyword used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review was "SEFT; psychological well-being" to retrieve evidence-based research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articles. The synthesised data focuses on the impact of the Spiritual Emotional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Freedom Technique (SEFT) on enhancing psychological well-being. The literature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review includes articles published between 2019 and 2024 in English. Articles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published before 2019, those not in English, review articles, and non-experimental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designs were excluded from the search. The primary aim of the database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search was to identify pertinent articles for the review process.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8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 AND DISCUSSION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 selected articles were reviewed. Article publication from 2019-2024.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majority of research shows that there is an influence of SEFT in building psychological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well-being, there is a relationship between variables, namely age, gender, occupation,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level of education, and comorbidities.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71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294</w:t>
      </w:r>
    </w:p>
    <w:p>
      <w:pPr>
        <w:sectPr>
          <w:pgSz w:w="11909" w:h="16834"/>
          <w:pgMar w:top="384" w:right="144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87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Devani Widya Rachmawardany¹, Irma Finurina Mustikawati², Paramita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Septianawati³, Glorio Immanuel⁴ </w:t>
      </w:r>
    </w:p>
    <w:p>
      <w:pPr>
        <w:autoSpaceDN w:val="0"/>
        <w:autoSpaceDE w:val="0"/>
        <w:widowControl/>
        <w:spacing w:line="197" w:lineRule="auto" w:before="450" w:after="4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Table 1. Analysis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010"/>
        <w:gridCol w:w="3010"/>
        <w:gridCol w:w="3010"/>
      </w:tblGrid>
      <w:tr>
        <w:trPr>
          <w:trHeight w:hRule="exact" w:val="310"/>
        </w:trPr>
        <w:tc>
          <w:tcPr>
            <w:tcW w:type="dxa" w:w="15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Researcher </w:t>
            </w:r>
          </w:p>
        </w:tc>
        <w:tc>
          <w:tcPr>
            <w:tcW w:type="dxa" w:w="219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Type of Research </w:t>
            </w:r>
          </w:p>
        </w:tc>
        <w:tc>
          <w:tcPr>
            <w:tcW w:type="dxa" w:w="501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Research result </w:t>
            </w:r>
          </w:p>
        </w:tc>
      </w:tr>
      <w:tr>
        <w:trPr>
          <w:trHeight w:hRule="exact" w:val="310"/>
        </w:trPr>
        <w:tc>
          <w:tcPr>
            <w:tcW w:type="dxa" w:w="15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(Altuntaş &amp; </w:t>
            </w:r>
          </w:p>
        </w:tc>
        <w:tc>
          <w:tcPr>
            <w:tcW w:type="dxa" w:w="2196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Qualitative research </w:t>
            </w:r>
          </w:p>
        </w:tc>
        <w:tc>
          <w:tcPr>
            <w:tcW w:type="dxa" w:w="501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Emotional freedom techniques using Chinese </w:t>
            </w:r>
          </w:p>
        </w:tc>
      </w:tr>
      <w:tr>
        <w:trPr>
          <w:trHeight w:hRule="exact" w:val="300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Düzgüner, </w:t>
            </w:r>
          </w:p>
        </w:tc>
        <w:tc>
          <w:tcPr>
            <w:tcW w:type="dxa" w:w="3010"/>
            <w:vMerge/>
            <w:tcBorders>
              <w:top w:sz="4.0" w:val="single" w:color="#000000"/>
            </w:tcBorders>
          </w:tcPr>
          <w:p/>
        </w:tc>
        <w:tc>
          <w:tcPr>
            <w:tcW w:type="dxa" w:w="5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concepts in 1980. EFT has an impact on </w:t>
            </w:r>
          </w:p>
        </w:tc>
      </w:tr>
      <w:tr>
        <w:trPr>
          <w:trHeight w:hRule="exact" w:val="29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2020) </w:t>
            </w:r>
          </w:p>
        </w:tc>
        <w:tc>
          <w:tcPr>
            <w:tcW w:type="dxa" w:w="3010"/>
            <w:vMerge/>
            <w:tcBorders>
              <w:top w:sz="4.0" w:val="single" w:color="#000000"/>
            </w:tcBorders>
          </w:tcPr>
          <w:p/>
        </w:tc>
        <w:tc>
          <w:tcPr>
            <w:tcW w:type="dxa" w:w="5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psychology and conditions.  The method involves </w:t>
            </w:r>
          </w:p>
        </w:tc>
      </w:tr>
    </w:tbl>
    <w:p>
      <w:pPr>
        <w:autoSpaceDN w:val="0"/>
        <w:autoSpaceDE w:val="0"/>
        <w:widowControl/>
        <w:spacing w:line="245" w:lineRule="auto" w:before="22" w:after="4"/>
        <w:ind w:left="3978" w:right="20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stimulating meridian transition points with a tip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without a needle.  to create a frequency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between fusion and energy until events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cause negative emotions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257"/>
        <w:gridCol w:w="2257"/>
        <w:gridCol w:w="2257"/>
        <w:gridCol w:w="2257"/>
      </w:tblGrid>
      <w:tr>
        <w:trPr>
          <w:trHeight w:hRule="exact" w:val="308"/>
        </w:trPr>
        <w:tc>
          <w:tcPr>
            <w:tcW w:type="dxa" w:w="118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(Irman </w:t>
            </w:r>
          </w:p>
        </w:tc>
        <w:tc>
          <w:tcPr>
            <w:tcW w:type="dxa" w:w="32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&amp; </w:t>
            </w:r>
          </w:p>
        </w:tc>
        <w:tc>
          <w:tcPr>
            <w:tcW w:type="dxa" w:w="2216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Quasi-experimental </w:t>
            </w:r>
          </w:p>
        </w:tc>
        <w:tc>
          <w:tcPr>
            <w:tcW w:type="dxa" w:w="500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SEFT therapy has the potential to alleviate </w:t>
            </w:r>
          </w:p>
        </w:tc>
      </w:tr>
      <w:tr>
        <w:trPr>
          <w:trHeight w:hRule="exact" w:val="300"/>
        </w:trPr>
        <w:tc>
          <w:tcPr>
            <w:tcW w:type="dxa" w:w="1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Wijayanti, </w:t>
            </w:r>
          </w:p>
        </w:tc>
        <w:tc>
          <w:tcPr>
            <w:tcW w:type="dxa" w:w="2257"/>
            <w:vMerge/>
            <w:tcBorders>
              <w:top w:sz="4.0" w:val="single" w:color="#000000"/>
            </w:tcBorders>
          </w:tcPr>
          <w:p/>
        </w:tc>
        <w:tc>
          <w:tcPr>
            <w:tcW w:type="dxa" w:w="2257"/>
            <w:vMerge/>
            <w:tcBorders>
              <w:top w:sz="4.0" w:val="single" w:color="#000000"/>
            </w:tcBorders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feelings of hopelessness by integrating spiritual, </w:t>
            </w:r>
          </w:p>
        </w:tc>
      </w:tr>
      <w:tr>
        <w:trPr>
          <w:trHeight w:hRule="exact" w:val="296"/>
        </w:trPr>
        <w:tc>
          <w:tcPr>
            <w:tcW w:type="dxa" w:w="118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2022) </w:t>
            </w:r>
          </w:p>
        </w:tc>
        <w:tc>
          <w:tcPr>
            <w:tcW w:type="dxa" w:w="2257"/>
            <w:vMerge/>
            <w:tcBorders>
              <w:top w:sz="4.0" w:val="single" w:color="#000000"/>
            </w:tcBorders>
          </w:tcPr>
          <w:p/>
        </w:tc>
        <w:tc>
          <w:tcPr>
            <w:tcW w:type="dxa" w:w="2257"/>
            <w:vMerge/>
            <w:tcBorders>
              <w:top w:sz="4.0" w:val="single" w:color="#000000"/>
            </w:tcBorders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psychological, and physical components. This </w:t>
            </w:r>
          </w:p>
        </w:tc>
      </w:tr>
    </w:tbl>
    <w:p>
      <w:pPr>
        <w:autoSpaceDN w:val="0"/>
        <w:autoSpaceDE w:val="0"/>
        <w:widowControl/>
        <w:spacing w:line="245" w:lineRule="auto" w:before="22" w:after="8"/>
        <w:ind w:left="3978" w:right="20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involves tapping specific points on the fingertips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address emotional and psychosomatic issues,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leading to a reduction in both psychological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physical symptoms.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257"/>
        <w:gridCol w:w="2257"/>
        <w:gridCol w:w="2257"/>
        <w:gridCol w:w="2257"/>
      </w:tblGrid>
      <w:tr>
        <w:trPr>
          <w:trHeight w:hRule="exact" w:val="308"/>
        </w:trPr>
        <w:tc>
          <w:tcPr>
            <w:tcW w:type="dxa" w:w="152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(Fatima, </w:t>
            </w:r>
          </w:p>
        </w:tc>
        <w:tc>
          <w:tcPr>
            <w:tcW w:type="dxa" w:w="219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Experimental </w:t>
            </w:r>
          </w:p>
        </w:tc>
        <w:tc>
          <w:tcPr>
            <w:tcW w:type="dxa" w:w="501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Positive psychology focuses on improving </w:t>
            </w:r>
          </w:p>
        </w:tc>
      </w:tr>
      <w:tr>
        <w:trPr>
          <w:trHeight w:hRule="exact" w:val="300"/>
        </w:trPr>
        <w:tc>
          <w:tcPr>
            <w:tcW w:type="dxa" w:w="9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Khan, </w:t>
            </w:r>
          </w:p>
        </w:tc>
        <w:tc>
          <w:tcPr>
            <w:tcW w:type="dxa" w:w="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6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&amp; </w:t>
            </w:r>
          </w:p>
        </w:tc>
        <w:tc>
          <w:tcPr>
            <w:tcW w:type="dxa" w:w="21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9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research </w:t>
            </w:r>
          </w:p>
        </w:tc>
        <w:tc>
          <w:tcPr>
            <w:tcW w:type="dxa" w:w="5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psychological well-being and positive outcomes. </w:t>
            </w:r>
          </w:p>
        </w:tc>
      </w:tr>
      <w:tr>
        <w:trPr>
          <w:trHeight w:hRule="exact" w:val="298"/>
        </w:trPr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Sadia, 2023) </w:t>
            </w:r>
          </w:p>
        </w:tc>
        <w:tc>
          <w:tcPr>
            <w:tcW w:type="dxa" w:w="2257"/>
            <w:vMerge/>
            <w:tcBorders/>
          </w:tcPr>
          <w:p/>
        </w:tc>
        <w:tc>
          <w:tcPr>
            <w:tcW w:type="dxa" w:w="5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 key aspect of psychological well-being is the </w:t>
            </w:r>
          </w:p>
        </w:tc>
      </w:tr>
    </w:tbl>
    <w:p>
      <w:pPr>
        <w:autoSpaceDN w:val="0"/>
        <w:autoSpaceDE w:val="0"/>
        <w:widowControl/>
        <w:spacing w:line="197" w:lineRule="auto" w:before="22" w:after="4"/>
        <w:ind w:left="0" w:right="196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resilience of academic abilities.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1129"/>
        <w:gridCol w:w="1129"/>
        <w:gridCol w:w="1129"/>
        <w:gridCol w:w="1129"/>
        <w:gridCol w:w="1129"/>
        <w:gridCol w:w="1129"/>
        <w:gridCol w:w="1129"/>
        <w:gridCol w:w="1129"/>
      </w:tblGrid>
      <w:tr>
        <w:trPr>
          <w:trHeight w:hRule="exact" w:val="308"/>
        </w:trPr>
        <w:tc>
          <w:tcPr>
            <w:tcW w:type="dxa" w:w="151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(Denning et </w:t>
            </w:r>
          </w:p>
        </w:tc>
        <w:tc>
          <w:tcPr>
            <w:tcW w:type="dxa" w:w="220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Quantitative </w:t>
            </w:r>
          </w:p>
        </w:tc>
        <w:tc>
          <w:tcPr>
            <w:tcW w:type="dxa" w:w="5010"/>
            <w:gridSpan w:val="6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Mental health is a condition where the person </w:t>
            </w:r>
          </w:p>
        </w:tc>
      </w:tr>
      <w:tr>
        <w:trPr>
          <w:trHeight w:hRule="exact" w:val="300"/>
        </w:trPr>
        <w:tc>
          <w:tcPr>
            <w:tcW w:type="dxa" w:w="15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al., 2021) </w:t>
            </w:r>
          </w:p>
        </w:tc>
        <w:tc>
          <w:tcPr>
            <w:tcW w:type="dxa" w:w="220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research </w:t>
            </w:r>
          </w:p>
        </w:tc>
        <w:tc>
          <w:tcPr>
            <w:tcW w:type="dxa" w:w="6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has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potential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within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himself.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4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Negative </w:t>
            </w:r>
          </w:p>
        </w:tc>
      </w:tr>
      <w:tr>
        <w:trPr>
          <w:trHeight w:hRule="exact" w:val="298"/>
        </w:trPr>
        <w:tc>
          <w:tcPr>
            <w:tcW w:type="dxa" w:w="1129"/>
            <w:vMerge/>
            <w:tcBorders/>
          </w:tcPr>
          <w:p/>
        </w:tc>
        <w:tc>
          <w:tcPr>
            <w:tcW w:type="dxa" w:w="1129"/>
            <w:vMerge/>
            <w:tcBorders/>
          </w:tcPr>
          <w:p/>
        </w:tc>
        <w:tc>
          <w:tcPr>
            <w:tcW w:type="dxa" w:w="183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psychological </w:t>
            </w:r>
          </w:p>
        </w:tc>
        <w:tc>
          <w:tcPr>
            <w:tcW w:type="dxa" w:w="1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well-being </w:t>
            </w:r>
          </w:p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2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encompasses </w:t>
            </w:r>
          </w:p>
        </w:tc>
      </w:tr>
    </w:tbl>
    <w:p>
      <w:pPr>
        <w:autoSpaceDN w:val="0"/>
        <w:autoSpaceDE w:val="0"/>
        <w:widowControl/>
        <w:spacing w:line="197" w:lineRule="auto" w:before="22" w:after="26"/>
        <w:ind w:left="0" w:right="21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conditions such as depression, chronic stress,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80.0" w:type="dxa"/>
      </w:tblPr>
      <w:tblGrid>
        <w:gridCol w:w="1806"/>
        <w:gridCol w:w="1806"/>
        <w:gridCol w:w="1806"/>
        <w:gridCol w:w="1806"/>
        <w:gridCol w:w="1806"/>
      </w:tblGrid>
      <w:tr>
        <w:trPr>
          <w:trHeight w:hRule="exact" w:val="294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1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anxiety,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anger,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pessimism,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and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overall </w:t>
            </w:r>
          </w:p>
        </w:tc>
      </w:tr>
    </w:tbl>
    <w:p>
      <w:pPr>
        <w:autoSpaceDN w:val="0"/>
        <w:autoSpaceDE w:val="0"/>
        <w:widowControl/>
        <w:spacing w:line="245" w:lineRule="auto" w:before="26" w:after="6"/>
        <w:ind w:left="3978" w:right="20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dissatisfaction with life. On the other hand,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positive psychological health is defined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feelings of optimism, gratitude, resilience,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sense of purpose, positive influence,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happiness.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3010"/>
        <w:gridCol w:w="3010"/>
        <w:gridCol w:w="3010"/>
      </w:tblGrid>
      <w:tr>
        <w:trPr>
          <w:trHeight w:hRule="exact" w:val="304"/>
        </w:trPr>
        <w:tc>
          <w:tcPr>
            <w:tcW w:type="dxa" w:w="151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(Er &amp; Erkan, </w:t>
            </w:r>
          </w:p>
        </w:tc>
        <w:tc>
          <w:tcPr>
            <w:tcW w:type="dxa" w:w="2206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Cross-sectional </w:t>
            </w:r>
          </w:p>
        </w:tc>
        <w:tc>
          <w:tcPr>
            <w:tcW w:type="dxa" w:w="501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Positive impacts on spiritual well-being can </w:t>
            </w:r>
          </w:p>
        </w:tc>
      </w:tr>
      <w:tr>
        <w:trPr>
          <w:trHeight w:hRule="exact" w:val="306"/>
        </w:trPr>
        <w:tc>
          <w:tcPr>
            <w:tcW w:type="dxa" w:w="15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2023) </w:t>
            </w:r>
          </w:p>
        </w:tc>
        <w:tc>
          <w:tcPr>
            <w:tcW w:type="dxa" w:w="3010"/>
            <w:vMerge/>
            <w:tcBorders>
              <w:top w:sz="4.0" w:val="single" w:color="#000000"/>
            </w:tcBorders>
          </w:tcPr>
          <w:p/>
        </w:tc>
        <w:tc>
          <w:tcPr>
            <w:tcW w:type="dxa" w:w="5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profoundly influence cancer patients, enhancing </w:t>
            </w:r>
          </w:p>
        </w:tc>
      </w:tr>
    </w:tbl>
    <w:p>
      <w:pPr>
        <w:autoSpaceDN w:val="0"/>
        <w:autoSpaceDE w:val="0"/>
        <w:widowControl/>
        <w:spacing w:line="245" w:lineRule="auto" w:before="22" w:after="4"/>
        <w:ind w:left="3978" w:right="2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their quality of life and instilling a greater sense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vitality. Research has indicated that breast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cancer, in particular, has a significant impact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psychological resilience. Factors such as age,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number of children, duration of diagnosis,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cancer stage are correlated with changes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psychological well-being, with psychological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resilience decreasing as these factors increase.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257"/>
        <w:gridCol w:w="2257"/>
        <w:gridCol w:w="2257"/>
        <w:gridCol w:w="2257"/>
      </w:tblGrid>
      <w:tr>
        <w:trPr>
          <w:trHeight w:hRule="exact" w:val="308"/>
        </w:trPr>
        <w:tc>
          <w:tcPr>
            <w:tcW w:type="dxa" w:w="112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(Hidayat </w:t>
            </w:r>
          </w:p>
        </w:tc>
        <w:tc>
          <w:tcPr>
            <w:tcW w:type="dxa" w:w="38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et </w:t>
            </w:r>
          </w:p>
        </w:tc>
        <w:tc>
          <w:tcPr>
            <w:tcW w:type="dxa" w:w="2206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24"/>
              </w:rPr>
              <w:t xml:space="preserve">Quasi-experimental </w:t>
            </w:r>
          </w:p>
        </w:tc>
        <w:tc>
          <w:tcPr>
            <w:tcW w:type="dxa" w:w="501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SEFT has a big impact on reducing anxiety and </w:t>
            </w:r>
          </w:p>
        </w:tc>
      </w:tr>
      <w:tr>
        <w:trPr>
          <w:trHeight w:hRule="exact" w:val="308"/>
        </w:trPr>
        <w:tc>
          <w:tcPr>
            <w:tcW w:type="dxa" w:w="11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al., 2021) </w:t>
            </w:r>
          </w:p>
        </w:tc>
        <w:tc>
          <w:tcPr>
            <w:tcW w:type="dxa" w:w="2257"/>
            <w:vMerge/>
            <w:tcBorders>
              <w:top w:sz="4.0" w:val="single" w:color="#000000"/>
            </w:tcBorders>
          </w:tcPr>
          <w:p/>
        </w:tc>
        <w:tc>
          <w:tcPr>
            <w:tcW w:type="dxa" w:w="2257"/>
            <w:vMerge/>
            <w:tcBorders>
              <w:top w:sz="4.0" w:val="single" w:color="#000000"/>
            </w:tcBorders>
          </w:tcPr>
          <w:p/>
        </w:tc>
        <w:tc>
          <w:tcPr>
            <w:tcW w:type="dxa" w:w="5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improving psychological well-being to the point </w:t>
            </w:r>
          </w:p>
        </w:tc>
      </w:tr>
    </w:tbl>
    <w:p>
      <w:pPr>
        <w:autoSpaceDN w:val="0"/>
        <w:autoSpaceDE w:val="0"/>
        <w:widowControl/>
        <w:spacing w:line="245" w:lineRule="auto" w:before="22" w:after="8"/>
        <w:ind w:left="3978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being awake in Covid 19 patients.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instrument used is the psychological well-being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questionnaire. One of the treatments that can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.0" w:type="dxa"/>
      </w:tblPr>
      <w:tblGrid>
        <w:gridCol w:w="4514"/>
        <w:gridCol w:w="4514"/>
      </w:tblGrid>
      <w:tr>
        <w:trPr>
          <w:trHeight w:hRule="exact" w:val="1120"/>
        </w:trPr>
        <w:tc>
          <w:tcPr>
            <w:tcW w:type="dxa" w:w="618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14" w:after="0"/>
              <w:ind w:left="12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Jurnal Health Sains, Vol. 5, No. 4, April 2024 </w:t>
            </w:r>
          </w:p>
        </w:tc>
        <w:tc>
          <w:tcPr>
            <w:tcW w:type="dxa" w:w="25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914" w:after="0"/>
              <w:ind w:left="0" w:right="1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9" w:h="16834"/>
          <w:pgMar w:top="384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Analysing the Spiritual Effects of Emotional Freedom Technology (SEFT) in Building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Psychological Well-being: Systematic Literature Review </w:t>
      </w:r>
    </w:p>
    <w:p>
      <w:pPr>
        <w:autoSpaceDN w:val="0"/>
        <w:autoSpaceDE w:val="0"/>
        <w:widowControl/>
        <w:spacing w:line="197" w:lineRule="auto" w:before="460" w:after="10"/>
        <w:ind w:left="0" w:right="30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 used in DM patients with Covid is using SEFT.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257"/>
        <w:gridCol w:w="2257"/>
        <w:gridCol w:w="2257"/>
        <w:gridCol w:w="2257"/>
      </w:tblGrid>
      <w:tr>
        <w:trPr>
          <w:trHeight w:hRule="exact" w:val="304"/>
        </w:trPr>
        <w:tc>
          <w:tcPr>
            <w:tcW w:type="dxa" w:w="112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(Fatima </w:t>
            </w:r>
          </w:p>
        </w:tc>
        <w:tc>
          <w:tcPr>
            <w:tcW w:type="dxa" w:w="38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et </w:t>
            </w:r>
          </w:p>
        </w:tc>
        <w:tc>
          <w:tcPr>
            <w:tcW w:type="dxa" w:w="220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Cross-sectional </w:t>
            </w:r>
          </w:p>
        </w:tc>
        <w:tc>
          <w:tcPr>
            <w:tcW w:type="dxa" w:w="501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This pandemic has caused great concern and </w:t>
            </w:r>
          </w:p>
        </w:tc>
      </w:tr>
      <w:tr>
        <w:trPr>
          <w:trHeight w:hRule="exact" w:val="262"/>
        </w:trPr>
        <w:tc>
          <w:tcPr>
            <w:tcW w:type="dxa" w:w="11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al., 2023) </w:t>
            </w:r>
          </w:p>
        </w:tc>
        <w:tc>
          <w:tcPr>
            <w:tcW w:type="dxa" w:w="2257"/>
            <w:vMerge/>
            <w:tcBorders>
              <w:top w:sz="4.0" w:val="single" w:color="#000000"/>
            </w:tcBorders>
          </w:tcPr>
          <w:p/>
        </w:tc>
        <w:tc>
          <w:tcPr>
            <w:tcW w:type="dxa" w:w="220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Non-probability </w:t>
            </w:r>
          </w:p>
        </w:tc>
        <w:tc>
          <w:tcPr>
            <w:tcW w:type="dxa" w:w="50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fear for the entire community. The risk of </w:t>
            </w:r>
          </w:p>
        </w:tc>
      </w:tr>
    </w:tbl>
    <w:p>
      <w:pPr>
        <w:autoSpaceDN w:val="0"/>
        <w:autoSpaceDE w:val="0"/>
        <w:widowControl/>
        <w:spacing w:line="14" w:lineRule="exact" w:before="0" w:after="52"/>
        <w:ind w:left="0" w:right="0"/>
      </w:pPr>
    </w:p>
    <w:p>
      <w:pPr>
        <w:sectPr>
          <w:pgSz w:w="11909" w:h="16834"/>
          <w:pgMar w:top="384" w:right="144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77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convenience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sampling technique </w:t>
      </w:r>
    </w:p>
    <w:p>
      <w:pPr>
        <w:sectPr>
          <w:type w:val="continuous"/>
          <w:pgSz w:w="11909" w:h="16834"/>
          <w:pgMar w:top="384" w:right="1440" w:bottom="508" w:left="1440" w:header="720" w:footer="720" w:gutter="0"/>
          <w:cols w:num="2" w:equalWidth="0">
            <w:col w:w="3857" w:space="0"/>
            <w:col w:w="517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6"/>
        <w:ind w:left="120" w:right="20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infection has a negative impact that affects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psychological well-being. The research results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show that positive and negative relationships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significant results on the influence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psychological health. </w:t>
      </w:r>
    </w:p>
    <w:p>
      <w:pPr>
        <w:sectPr>
          <w:type w:val="nextColumn"/>
          <w:pgSz w:w="11909" w:h="16834"/>
          <w:pgMar w:top="384" w:right="1440" w:bottom="508" w:left="1440" w:header="720" w:footer="720" w:gutter="0"/>
          <w:cols w:num="2" w:equalWidth="0">
            <w:col w:w="3857" w:space="0"/>
            <w:col w:w="517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56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respondents' distribution characteristics were gender, age, education level,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occupation. R DM patients had high self-efficacy after being given SEFT therapy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10-15 minutes whenever they felt relaxed and calm. The Mann-Whitney test results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reveal a significant p-value of 0.003, indicating a notable distinction between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intervention group, which underwent the Emotional Freedom Technique (SEFT)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spiritual therapy, and the control group (Maryana &amp; Dewi, 2021). </w:t>
      </w:r>
    </w:p>
    <w:p>
      <w:pPr>
        <w:autoSpaceDN w:val="0"/>
        <w:autoSpaceDE w:val="0"/>
        <w:widowControl/>
        <w:spacing w:line="245" w:lineRule="auto" w:before="52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SEFT contains tapping and prayer concentration, sincerity, surrender, and feeling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gratitude that is repeated regularly with deep and long breaths. SEFT demonstrates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effectiveness in decreasing the LF/HF ratio among primiparous women. Additional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studies are required to confirm the applicability of SEFT in pregnant women </w:t>
      </w:r>
      <w:r>
        <w:rPr>
          <w:rFonts w:ascii="Calibri" w:hAnsi="Calibri" w:eastAsia="Calibri"/>
          <w:b w:val="0"/>
          <w:i w:val="0"/>
          <w:color w:val="000000"/>
          <w:sz w:val="24"/>
        </w:rPr>
        <w:t>experiencing anxiety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(Hidayat et al., 2021). </w:t>
      </w:r>
    </w:p>
    <w:p>
      <w:pPr>
        <w:autoSpaceDN w:val="0"/>
        <w:autoSpaceDE w:val="0"/>
        <w:widowControl/>
        <w:spacing w:line="245" w:lineRule="auto" w:before="54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SEFT is a therapy for pre-menstrual patients by carrying out standard procedures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such as The Set-Up, The Tune-In, and Tapping. The findings indicate notable variances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premenstrual syndrome mood fluctuations following SEFT therapy. With a p-value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0.001 from the analysis, it can be inferred that SEFT has the potential to ameliorate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mood swings associated with premenstrual syndrome (Lestari, 2023). </w:t>
      </w:r>
    </w:p>
    <w:p>
      <w:pPr>
        <w:autoSpaceDN w:val="0"/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CONCLUSION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Spiritual Emotional Freedom Technique (SEFT) therapy has a great influence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psychological well-being. Looking at the p-value results, in general therapy Spiritual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Emotional Freedom Technique (SEFT) can have quite a good impact on psychology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because it reduces feelings that involve spiritual, psychological and physical elements. </w:t>
      </w:r>
      <w:r>
        <w:rPr>
          <w:rFonts w:ascii="Calibri" w:hAnsi="Calibri" w:eastAsia="Calibri"/>
          <w:b w:val="0"/>
          <w:i w:val="0"/>
          <w:color w:val="000000"/>
          <w:sz w:val="24"/>
        </w:rPr>
        <w:t>Several studies say SEFT can also affect patients suffering from diseases such as COVID-</w:t>
      </w:r>
      <w:r>
        <w:rPr>
          <w:rFonts w:ascii="Calibri" w:hAnsi="Calibri" w:eastAsia="Calibri"/>
          <w:b w:val="0"/>
          <w:i w:val="0"/>
          <w:color w:val="000000"/>
          <w:sz w:val="24"/>
        </w:rPr>
        <w:t>19, DM, and Cancer.</w:t>
      </w:r>
    </w:p>
    <w:p>
      <w:pPr>
        <w:autoSpaceDN w:val="0"/>
        <w:autoSpaceDE w:val="0"/>
        <w:widowControl/>
        <w:spacing w:line="197" w:lineRule="auto" w:before="348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REFERENCES </w:t>
      </w:r>
    </w:p>
    <w:p>
      <w:pPr>
        <w:autoSpaceDN w:val="0"/>
        <w:autoSpaceDE w:val="0"/>
        <w:widowControl/>
        <w:spacing w:line="245" w:lineRule="auto" w:before="346" w:after="0"/>
        <w:ind w:left="742" w:right="210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Altuntaş, Semra, &amp; Düzgüner, Sevde. (2020). Duygusal Özgürleşme Tekniği (EFT) ile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Destek Alan Kadınlarda Bireysel, Sosyal ve Manevi Değişim Üzerine Nitel Bir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Araştırma. </w:t>
      </w:r>
      <w:r>
        <w:rPr>
          <w:rFonts w:ascii="Calibri" w:hAnsi="Calibri" w:eastAsia="Calibri"/>
          <w:b w:val="0"/>
          <w:i/>
          <w:color w:val="000000"/>
          <w:sz w:val="24"/>
        </w:rPr>
        <w:t>Ankara Üniversitesi İlahiyat Fakültesi Dergisi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61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453–492.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Kock, Johannes H., Latham, Helen Ann, Leslie, Stephen J., Grindle, Mark, Munoz,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Sarah Anne, Ellis, Liz, Polson, Rob, &amp; O’Malley, Christopher M. (2021). A rapid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review of the impact of COVID-19 on the mental health of healthcare workers: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implications for supporting psychological well-being. </w:t>
      </w:r>
      <w:r>
        <w:rPr>
          <w:rFonts w:ascii="Calibri" w:hAnsi="Calibri" w:eastAsia="Calibri"/>
          <w:b w:val="0"/>
          <w:i/>
          <w:color w:val="000000"/>
          <w:sz w:val="24"/>
        </w:rPr>
        <w:t>BMC Public Health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1–18.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Denning, Max, Goh, Ee Teng, Tan, Benjamin, Kanneganti, Abhiram, Almonte, Melanie,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Scott, Alasdair, Martin, Guy, Clarke, Jonathan, Sounderajah, Viknesh, &amp; Markar,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Sheraz. (2021). Determinants of burnout and other aspects of psychological well-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68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296</w:t>
      </w:r>
    </w:p>
    <w:p>
      <w:pPr>
        <w:sectPr>
          <w:type w:val="continuous"/>
          <w:pgSz w:w="11909" w:h="16834"/>
          <w:pgMar w:top="384" w:right="1440" w:bottom="5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187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Devani Widya Rachmawardany¹, Irma Finurina Mustikawati², Paramita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Septianawati³, Glorio Immanuel⁴ </w:t>
      </w:r>
    </w:p>
    <w:p>
      <w:pPr>
        <w:autoSpaceDN w:val="0"/>
        <w:autoSpaceDE w:val="0"/>
        <w:widowControl/>
        <w:spacing w:line="245" w:lineRule="auto" w:before="450" w:after="0"/>
        <w:ind w:left="74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being in healthcare workers during the Covid-19 pandemic: A multinational cross-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sectional study. </w:t>
      </w:r>
      <w:r>
        <w:rPr>
          <w:rFonts w:ascii="Calibri" w:hAnsi="Calibri" w:eastAsia="Calibri"/>
          <w:b w:val="0"/>
          <w:i/>
          <w:color w:val="000000"/>
          <w:sz w:val="24"/>
        </w:rPr>
        <w:t>Plos One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e0238666. </w:t>
      </w:r>
    </w:p>
    <w:p>
      <w:pPr>
        <w:autoSpaceDN w:val="0"/>
        <w:autoSpaceDE w:val="0"/>
        <w:widowControl/>
        <w:spacing w:line="245" w:lineRule="auto" w:before="54" w:after="0"/>
        <w:ind w:left="742" w:right="20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Er, Özlem Soyer, &amp; Erkan, Hamide Nur. (2023). The mediating role of psychological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resilience in the relationship between spiritual well-being and supportive care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needs in women with breast cancer. </w:t>
      </w:r>
      <w:r>
        <w:rPr>
          <w:rFonts w:ascii="Calibri" w:hAnsi="Calibri" w:eastAsia="Calibri"/>
          <w:b w:val="0"/>
          <w:i/>
          <w:color w:val="000000"/>
          <w:sz w:val="24"/>
        </w:rPr>
        <w:t>European Journal of Breast Health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19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(4),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297. </w:t>
      </w:r>
    </w:p>
    <w:p>
      <w:pPr>
        <w:autoSpaceDN w:val="0"/>
        <w:autoSpaceDE w:val="0"/>
        <w:widowControl/>
        <w:spacing w:line="245" w:lineRule="auto" w:before="52" w:after="0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Fatima, S. Mushkbar, Khan, Saira, &amp; Sadia, Rayna. (2023). The Relationship between </w:t>
      </w:r>
      <w:r>
        <w:rPr>
          <w:rFonts w:ascii="Calibri" w:hAnsi="Calibri" w:eastAsia="Calibri"/>
          <w:b w:val="0"/>
          <w:i w:val="0"/>
          <w:color w:val="000000"/>
          <w:sz w:val="24"/>
        </w:rPr>
        <w:t>Perceived Infectability and Psychological Well-being: The Mediating Role of Covid-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19 Anxiety. </w:t>
      </w:r>
      <w:r>
        <w:rPr>
          <w:rFonts w:ascii="Calibri" w:hAnsi="Calibri" w:eastAsia="Calibri"/>
          <w:b w:val="0"/>
          <w:i/>
          <w:color w:val="000000"/>
          <w:sz w:val="24"/>
        </w:rPr>
        <w:t>Psychology in Russia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16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63. </w:t>
      </w:r>
    </w:p>
    <w:p>
      <w:pPr>
        <w:autoSpaceDN w:val="0"/>
        <w:autoSpaceDE w:val="0"/>
        <w:widowControl/>
        <w:spacing w:line="245" w:lineRule="auto" w:before="54" w:after="0"/>
        <w:ind w:left="742" w:right="20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Hidayat, Asri, Emila, Ova, Dewi, Fatwa Sari Tetra, &amp; Sumarni, Sumarni. (2021). Spiritual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emotional freedom technique (SEFT) improved autonomic nervous activity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primipara. </w:t>
      </w:r>
      <w:r>
        <w:rPr>
          <w:rFonts w:ascii="Calibri" w:hAnsi="Calibri" w:eastAsia="Calibri"/>
          <w:b w:val="0"/>
          <w:i/>
          <w:color w:val="000000"/>
          <w:sz w:val="24"/>
        </w:rPr>
        <w:t>Bali Medical Journal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361–365.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Irman, Ode, &amp; Wijayanti, Anggia Riske. (2022). Reduction of Hopelessness Through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Spiritual Emotional Freedom Techniques Therapy in Chronic Kidney Disease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Patients Undergoing Hemodialysis. </w:t>
      </w:r>
      <w:r>
        <w:rPr>
          <w:rFonts w:ascii="Calibri" w:hAnsi="Calibri" w:eastAsia="Calibri"/>
          <w:b w:val="0"/>
          <w:i/>
          <w:color w:val="000000"/>
          <w:sz w:val="24"/>
        </w:rPr>
        <w:t>Jurnal Keperawatan Indonesia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25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95–102. </w:t>
      </w:r>
      <w:r>
        <w:rPr>
          <w:rFonts w:ascii="Calibri" w:hAnsi="Calibri" w:eastAsia="Calibri"/>
          <w:b w:val="0"/>
          <w:i w:val="0"/>
          <w:color w:val="000000"/>
          <w:sz w:val="24"/>
        </w:rPr>
        <w:t>Koburtay, Tamer, &amp; Alzoubi, Abedelkareem. (2021). The linkages between person-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organization spirituality fit and workers’ psychological well-being.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The Journal of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Social Psychology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161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103–118.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Lestari, Indah. (2023).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Spiritual Emotional Freedom Technique (SEFT) as an Effort to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Improve Mood Swing Premenstruation Syndrome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52" w:after="0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Li, Zhuang Shuang, &amp; Hasson, Felicity. (2020). Resilience, stress, and psychological well-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being in nursing students: A systematic review. </w:t>
      </w:r>
      <w:r>
        <w:rPr>
          <w:rFonts w:ascii="Calibri" w:hAnsi="Calibri" w:eastAsia="Calibri"/>
          <w:b w:val="0"/>
          <w:i/>
          <w:color w:val="000000"/>
          <w:sz w:val="24"/>
        </w:rPr>
        <w:t>Nurse Education Today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90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104440. </w:t>
      </w:r>
    </w:p>
    <w:p>
      <w:pPr>
        <w:autoSpaceDN w:val="0"/>
        <w:autoSpaceDE w:val="0"/>
        <w:widowControl/>
        <w:spacing w:line="245" w:lineRule="auto" w:before="54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Lina, Liza Fitri, Sabriyanti, Hazaroh Eldis, &amp; Sartika, Andry. (2019). Decreased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Anxiety Scale of Hemodialysis Patients With The Spiritual Emotional Freedom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Technique (SEFT) and The Autogenic Relaxation.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South East Asia Nursing </w:t>
      </w:r>
      <w:r>
        <w:rPr>
          <w:rFonts w:ascii="Calibri" w:hAnsi="Calibri" w:eastAsia="Calibri"/>
          <w:b w:val="0"/>
          <w:i/>
          <w:color w:val="000000"/>
          <w:sz w:val="24"/>
        </w:rPr>
        <w:t>Research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(3), 142. </w:t>
      </w:r>
    </w:p>
    <w:p>
      <w:pPr>
        <w:autoSpaceDN w:val="0"/>
        <w:autoSpaceDE w:val="0"/>
        <w:widowControl/>
        <w:spacing w:line="245" w:lineRule="auto" w:before="54" w:after="0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Lopez, Jaime, Perez-Rojo, Gema, Noriega, Cristina, Carretero, Isabel, Velasco, Cristina,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Martinez-Huertas, J. A., Lopez-Frutos, Patricia, &amp; Galarraga, Leyre. (2020). </w:t>
      </w:r>
    </w:p>
    <w:p>
      <w:pPr>
        <w:autoSpaceDN w:val="0"/>
        <w:autoSpaceDE w:val="0"/>
        <w:widowControl/>
        <w:spacing w:line="245" w:lineRule="auto" w:before="52" w:after="0"/>
        <w:ind w:left="742" w:right="20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Psychological well-being among older adults during the COVID-19 outbreak: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comparative study of the young–old and the old–old adults.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</w:t>
      </w:r>
      <w:r>
        <w:rPr>
          <w:rFonts w:ascii="Calibri" w:hAnsi="Calibri" w:eastAsia="Calibri"/>
          <w:b w:val="0"/>
          <w:i/>
          <w:color w:val="000000"/>
          <w:sz w:val="24"/>
        </w:rPr>
        <w:t>Psychogeriatrics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(11), 1365–1370.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5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Maryana, Maryana, &amp; Dewi, Sari Candra. (2021). Spiritual emotional freedom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technique increased patient self efficacy. </w:t>
      </w:r>
      <w:r>
        <w:rPr>
          <w:rFonts w:ascii="Calibri" w:hAnsi="Calibri" w:eastAsia="Calibri"/>
          <w:b w:val="0"/>
          <w:i/>
          <w:color w:val="000000"/>
          <w:sz w:val="24"/>
        </w:rPr>
        <w:t>Bali Medical Journal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10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(3), 1138–1141.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Thalib, Abdul Herman Syah, &amp; Saleh, Fitri J. (n.d.). Effectiveness of Spiritual Emotional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Freedom Technique on Improving Quality of Life in Post Stroke Patients.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Jurnal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Ilmiah Kesehatan Sandi Husada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(1), 82–88. </w:t>
      </w:r>
    </w:p>
    <w:p>
      <w:pPr>
        <w:autoSpaceDN w:val="0"/>
        <w:autoSpaceDE w:val="0"/>
        <w:widowControl/>
        <w:spacing w:line="245" w:lineRule="auto" w:before="54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Vivolo, Marco, Owen, Joel, &amp; Fisher, Paul. (2024). Building resilience in the Improving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Access to Psychological Therapy (IAPT) Psychological Wellbeing Practitioner (PWP)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role: a qualitative grounded theory study.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Behavioural and Cognitive </w:t>
      </w:r>
      <w:r>
        <w:rPr>
          <w:rFonts w:ascii="Calibri" w:hAnsi="Calibri" w:eastAsia="Calibri"/>
          <w:b w:val="0"/>
          <w:i/>
          <w:color w:val="000000"/>
          <w:sz w:val="24"/>
        </w:rPr>
        <w:t>Psychotherapy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135–148. </w:t>
      </w:r>
    </w:p>
    <w:p>
      <w:pPr>
        <w:autoSpaceDN w:val="0"/>
        <w:tabs>
          <w:tab w:pos="2312" w:val="left"/>
          <w:tab w:pos="3632" w:val="left"/>
        </w:tabs>
        <w:autoSpaceDE w:val="0"/>
        <w:widowControl/>
        <w:spacing w:line="245" w:lineRule="auto" w:before="390" w:after="0"/>
        <w:ind w:left="854" w:right="1152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Copyright Holder: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Devani Widya Rachmawardany¹, Irma Finurina Mustikawati², Paramita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Septianawati³, Glorio Immanuel⁴ </w:t>
      </w:r>
      <w:r>
        <w:rPr>
          <w:rFonts w:ascii="Calibri" w:hAnsi="Calibri" w:eastAsia="Calibri"/>
          <w:b w:val="0"/>
          <w:i w:val="0"/>
          <w:color w:val="000000"/>
          <w:sz w:val="24"/>
        </w:rPr>
        <w:t>(2024)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96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297</w:t>
      </w:r>
    </w:p>
    <w:p>
      <w:pPr>
        <w:sectPr>
          <w:pgSz w:w="11909" w:h="16834"/>
          <w:pgMar w:top="384" w:right="1440" w:bottom="36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62" w:right="5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Analysing the Spiritual Effects of Emotional Freedom Technology (SEFT) in Building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Psychological Well-being: Systematic Literature Review </w:t>
      </w:r>
    </w:p>
    <w:p>
      <w:pPr>
        <w:autoSpaceDN w:val="0"/>
        <w:autoSpaceDE w:val="0"/>
        <w:widowControl/>
        <w:spacing w:line="245" w:lineRule="auto" w:before="788" w:after="0"/>
        <w:ind w:left="3312" w:right="331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First Publication Right: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 </w:t>
      </w:r>
    </w:p>
    <w:p>
      <w:pPr>
        <w:autoSpaceDN w:val="0"/>
        <w:autoSpaceDE w:val="0"/>
        <w:widowControl/>
        <w:spacing w:line="197" w:lineRule="auto" w:before="344" w:after="0"/>
        <w:ind w:left="0" w:right="292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This article is licensed under: </w:t>
      </w:r>
    </w:p>
    <w:p>
      <w:pPr>
        <w:autoSpaceDN w:val="0"/>
        <w:autoSpaceDE w:val="0"/>
        <w:widowControl/>
        <w:spacing w:line="240" w:lineRule="auto" w:before="4" w:after="50"/>
        <w:ind w:left="0" w:right="38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38200" cy="2959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91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14"/>
        <w:gridCol w:w="4514"/>
      </w:tblGrid>
      <w:tr>
        <w:trPr>
          <w:trHeight w:hRule="exact" w:val="11812"/>
        </w:trPr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Jurnal Health Sains, Vol. 5, No. 4, April 2024 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298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9" w:h="16834"/>
      <w:pgMar w:top="384" w:right="1440" w:bottom="50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irmafinurinamustikawati@ump.ac.id" TargetMode="External"/><Relationship Id="rId11" Type="http://schemas.openxmlformats.org/officeDocument/2006/relationships/hyperlink" Target="mailto:paramitaseptianawati@ump.ac.id" TargetMode="External"/><Relationship Id="rId12" Type="http://schemas.openxmlformats.org/officeDocument/2006/relationships/hyperlink" Target="mailto:glo_rio@yahoo.com" TargetMode="External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