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sectPr>
          <w:pgSz w:w="11906" w:h="16838"/>
          <w:pgMar w:top="802" w:right="1440" w:bottom="502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869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802" w:right="1440" w:bottom="502" w:left="1440" w:header="720" w:footer="720" w:gutter="0"/>
          <w:cols w:num="2" w:equalWidth="0">
            <w:col w:w="4668" w:space="0"/>
            <w:col w:w="435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24"/>
        <w:ind w:left="860" w:right="144" w:firstLine="738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Volume 5, No. 4 April, 2024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 ISSN 2723-6927-e ISSN 2723-4339 </w:t>
      </w:r>
    </w:p>
    <w:p>
      <w:pPr>
        <w:sectPr>
          <w:type w:val="nextColumn"/>
          <w:pgSz w:w="11906" w:h="16838"/>
          <w:pgMar w:top="802" w:right="1440" w:bottom="502" w:left="1440" w:header="720" w:footer="720" w:gutter="0"/>
          <w:cols w:num="2" w:equalWidth="0">
            <w:col w:w="4668" w:space="0"/>
            <w:col w:w="435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Correlation Between Blood Glucose Levels And Risk Of Non-Hemorrhagic Stroke: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Analysis Of A Prospective Cohort Study In An Elderly Population </w:t>
      </w:r>
    </w:p>
    <w:p>
      <w:pPr>
        <w:autoSpaceDN w:val="0"/>
        <w:autoSpaceDE w:val="0"/>
        <w:widowControl/>
        <w:spacing w:line="245" w:lineRule="auto" w:before="346" w:after="0"/>
        <w:ind w:left="1728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Williem Alexander Hartanto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The Faculty of Medicine, Udayana University, Bali, Indonesia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>Email: Williemusalexander@gmail.com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330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Stroke is one of the main cardiovascular diseases that causes death and disability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throughout the world. One of the important risk factors for stroke is hyperglycemia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high blood sugar levels. This study aims to analyze the correlation between blood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glucose levels and the risk of non-hemorrhagic stroke in the elderly population.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utilizes a qualitative approach. The data source used is the scientific literature.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data that has been collected is then analyzed through the process of data reduction,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 presentation, and conclusion drawing. The research findings show that there was </w:t>
      </w:r>
      <w:r>
        <w:rPr>
          <w:rFonts w:ascii="Calibri" w:hAnsi="Calibri" w:eastAsia="Calibri"/>
          <w:b w:val="0"/>
          <w:i w:val="0"/>
          <w:color w:val="000000"/>
          <w:sz w:val="24"/>
        </w:rPr>
        <w:t>a significant positive correlation between blood glucose levels and the risk of non-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hemorrhagic stroke in the elderly population. Elderly people with high blood glucose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levels have a higher risk of non-hemorrhagic stroke compared to elderly people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normal blood glucose levels. Good control of blood glucose levels can be an important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strategy to reduce the risk of non-hemorrhagic stroke in the elderly. </w:t>
      </w:r>
    </w:p>
    <w:p>
      <w:pPr>
        <w:autoSpaceDN w:val="0"/>
        <w:autoSpaceDE w:val="0"/>
        <w:widowControl/>
        <w:spacing w:line="197" w:lineRule="auto" w:before="344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Keywords: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Blood Glucose Levels, Elderly, Non-Hemorrhagic Stroke.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Stroke is one of the leading causes of disability and is the third leading cause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death globally, after heart disease and cancer in both developed and developing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countries. According to data from the Institute for Health Metrics and Evaluation (IHME)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2019, stroke is the leading cause of death in Indonesia, accounting for approximately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19.42% of total deaths. Based on the Riskesdas results, the prevalence of stroke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Indonesia has increased significantly, from 7 per 1000 population in 2013 to 10.9 per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1000 population in 2018. Stroke itself is defined as clinical signs that appear suddenly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abruptly, such as focal deficits in brain function, which last for at least 24 hours or cause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death in the absence of causes other than vascular factors (Mendelson &amp; Prabhakaran,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2021). </w:t>
      </w:r>
    </w:p>
    <w:p>
      <w:pPr>
        <w:autoSpaceDN w:val="0"/>
        <w:autoSpaceDE w:val="0"/>
        <w:widowControl/>
        <w:spacing w:line="245" w:lineRule="auto" w:before="52" w:after="0"/>
        <w:ind w:left="262" w:right="144" w:firstLine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Stroke has several classifications, one of which is non-hemorrhagic stroke. Non-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hemorrhagic stroke, also known as ischemic stroke, refers to the sudden loss of brain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function due to disruption of blood supply to the brain area. Non-hemorrhagic stroke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can occur in the form of cerebral ischemia, embolism, or thrombosis and often occurs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after a long period of rest, upon waking, or in the morning (Sonyorini &amp; Sulastri, 2023).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One element that is significant in increasing the risk of stroke is hyperglycemia or high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blood sugar levels.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80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284 </w:t>
      </w:r>
    </w:p>
    <w:p>
      <w:pPr>
        <w:sectPr>
          <w:type w:val="continuous"/>
          <w:pgSz w:w="11906" w:h="16838"/>
          <w:pgMar w:top="802" w:right="144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Williem Alexander Hartanto </w:t>
      </w:r>
    </w:p>
    <w:p>
      <w:pPr>
        <w:autoSpaceDN w:val="0"/>
        <w:autoSpaceDE w:val="0"/>
        <w:widowControl/>
        <w:spacing w:line="245" w:lineRule="auto" w:before="754" w:after="0"/>
        <w:ind w:left="262" w:right="21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Hyperglycemia has a role in damaging the vascular endothelium through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mechanical mechanisms and increased oxidative stress. In the acute phase of stroke,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hyperglycemia can exacerbate brain damage by impairing endothelial nitric oxide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synthase (eNOS) function, which results in additional oxidative stress and causes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vasoconstriction and leukocyte adhesion, which in turn can lead to microvascular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blockage. Tight blood glucose control is associated with reduced mortality in stroke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 whose condition is critical (Khudin et al., 2014).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Hyperglycemia can also increase blood viscosity, which in turn can increase blood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pressure or hypertension, which is a major risk factor for ischemic stroke (Ramadany,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2012). Patients who have had a stroke and have high blood sugar levels have a fourfold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higher risk of having another ischemic stroke compared to stroke patients who have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normal blood sugar levels (Hermawan, 2022).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elderly, the incidence of stroke is most often caused by systemic diseases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such as hypertension, hypercholesterolemia, and diabetes mellitus. In the age range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40-70 years, every 20 mmHg increase in systolic pressure or ten mmHg increase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diastolic pressure will double the risk of stroke. In this age group, the cause of stroke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generally related to an unhealthy lifestyle that has been carried out since adolescence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continues consistently, causing chronic diseases that eventually develop into heart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disease and stroke in old age. The elderly tend to be prone to hypertension and other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disease complications. Data from various studies show that the incidence of stroke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increases with age, where the older a person is, the higher the chance of having a stroke.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Feigin et al. reported that 62% of stroke cases occurred in individuals under 70 years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age, while only 16% of cases occurred in the 15-49 age group (Rachmawati, Marshela,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Sunarno, 2022).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study makes an important contribution to the understanding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relationship between blood glucose levels and the risk of non-hemorrhagic stroke,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particularly in the elderly population. These implications may help the development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better theories and models in understanding the pathophysiological mechanisms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risk factors involved in the occurrence of non-hemorrhagic stroke. This study aims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analyze the correlation between blood glucose levels and the risk of non-hemorrhagic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stroke in the elderly population.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RESEARCH METHODS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research adopts a qualitative approach. A qualitative method is a method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uses a research technique that emphasizes analysis and description. In qualitative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research, the main emphasis is given to an in-depth understanding of the subject's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perspective, and theory is used as a foundation that guides researchers in understanding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observed phenomena. The purpose of qualitative research methods is to explain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phenomena clearly and comprehensively by collecting comprehensive data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exploring the various aspects involved. This method allows researchers to understand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context, meaning, and experiences experienced by participants in the study (Fadli,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2021). The data collection technique in this research is a literature study. The literature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study method is a series of processes related to data collection from library sources,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which include reading, recording, and managing materials relevant to the research.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type of data utilized in this study is secondary data. Data was obtained from reliable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102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285 </w:t>
      </w:r>
    </w:p>
    <w:p>
      <w:pPr>
        <w:sectPr>
          <w:pgSz w:w="11906" w:h="16838"/>
          <w:pgMar w:top="378" w:right="144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578" w:right="144" w:hanging="165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Correlation Between Blood Glucose Levels And Risk Of Non-Hemorrhagic Stroke: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Analysis Of A Prospective Cohort Study In An Elderly Population </w:t>
      </w:r>
    </w:p>
    <w:p>
      <w:pPr>
        <w:autoSpaceDN w:val="0"/>
        <w:autoSpaceDE w:val="0"/>
        <w:widowControl/>
        <w:spacing w:line="245" w:lineRule="auto" w:before="462" w:after="0"/>
        <w:ind w:left="262" w:right="21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sources such as Google Scholar, PubMed, and Scopus. After the data was collected,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analysis was conducted through three stages: data pruning, data presentation,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conclusion drawing.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RESULTS AND DISCUSSION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Old age, often referred to as old age or the elderly, is the final phase of a person's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lifetime. It's a time when one has moved away from earlier, more enjoyable,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productive times. Elderly is a term used to refer to individuals who have reached the age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60 and above, in accordance with the definition set out in the Law of the Republic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Indonesia Number 13 of 1998. Then, according to this law, the elderly have the same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rights in terms of social life, nationality, and government as other age groups (Akbar 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al., 2021). </w:t>
      </w:r>
    </w:p>
    <w:p>
      <w:pPr>
        <w:autoSpaceDN w:val="0"/>
        <w:tabs>
          <w:tab w:pos="828" w:val="left"/>
          <w:tab w:pos="1034" w:val="left"/>
          <w:tab w:pos="1394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the World Health Organization (WHO) in 1999, which was cited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(Lumi et al., 2018), the age limit of the elderly is divided into four categories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follows: 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1.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Middle age, which is the age range between 45 to 59 years. This is the period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which a person has passed early adulthood and has not yet reached the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elderly stage. </w:t>
      </w:r>
    </w:p>
    <w:p>
      <w:pPr>
        <w:autoSpaceDN w:val="0"/>
        <w:autoSpaceDE w:val="0"/>
        <w:widowControl/>
        <w:spacing w:line="245" w:lineRule="auto" w:before="54" w:after="0"/>
        <w:ind w:left="1394" w:right="212" w:hanging="36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2.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Advanced age, which is the age range between 60 to 74 years. At this stage,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person begins to enter the elderly phase, where there is an increased risk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various aging-related health issues. </w:t>
      </w:r>
    </w:p>
    <w:p>
      <w:pPr>
        <w:autoSpaceDN w:val="0"/>
        <w:autoSpaceDE w:val="0"/>
        <w:widowControl/>
        <w:spacing w:line="245" w:lineRule="auto" w:before="54" w:after="0"/>
        <w:ind w:left="1394" w:right="208" w:hanging="36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3.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Old age, which is the age range between 75 to 90 years. This is a more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advanced phase of aging, where individuals may face more health challenges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significant physical changes. </w:t>
      </w:r>
    </w:p>
    <w:p>
      <w:pPr>
        <w:autoSpaceDN w:val="0"/>
        <w:autoSpaceDE w:val="0"/>
        <w:widowControl/>
        <w:spacing w:line="245" w:lineRule="auto" w:before="52" w:after="0"/>
        <w:ind w:left="1394" w:right="208" w:hanging="36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4.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Very old age, which is above 90 years of age. This is a very advanced stage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aging, where an individual may face serious health challenges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significant physical changes due to the natural aging process. </w:t>
      </w:r>
    </w:p>
    <w:p>
      <w:pPr>
        <w:autoSpaceDN w:val="0"/>
        <w:autoSpaceDE w:val="0"/>
        <w:widowControl/>
        <w:spacing w:line="245" w:lineRule="auto" w:before="54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Old age is part of the last stage in the inevitable process of human development.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significant extension of life expectancy is an important achievement for humanity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surviving old age. However, with the increase in the number of elderly people (aged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60 years and above), dependency-related disorders will become more common, in line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the absolute and relative growth (in relation to the total population) of this age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group (Prince et al., 2015). </w:t>
      </w:r>
    </w:p>
    <w:p>
      <w:pPr>
        <w:autoSpaceDN w:val="0"/>
        <w:autoSpaceDE w:val="0"/>
        <w:widowControl/>
        <w:spacing w:line="245" w:lineRule="auto" w:before="52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elderly are one of the groups that have increased in number and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vulnerable to certain risks. At-risk populations are categories of individuals who have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potential to experience worsening of their health conditions due to various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influencing factors.  This means that the elderly are people who have a higher possibility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experiencing health complications due to various factors that affect their condition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(AA &amp; Boy, 2020). According to (Dinata, 2015), the age of 60 years and above is the last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stage of the aging process, which has an impact on three main aspects, namely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biological, economic, and social. Biologically, elderly individuals experience a continuous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aging process characterized by a decrease in physical endurance and susceptibility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potentially fatal diseases. Changes in the structure and function of cells, tissues,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organ systems are the main factors in this process.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102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286</w:t>
      </w:r>
    </w:p>
    <w:p>
      <w:pPr>
        <w:sectPr>
          <w:pgSz w:w="11906" w:h="16838"/>
          <w:pgMar w:top="378" w:right="144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Williem Alexander Hartanto </w:t>
      </w:r>
    </w:p>
    <w:p>
      <w:pPr>
        <w:autoSpaceDN w:val="0"/>
        <w:autoSpaceDE w:val="0"/>
        <w:widowControl/>
        <w:spacing w:line="245" w:lineRule="auto" w:before="7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simpler language, when reaching the age of 60 and above, one enters the final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stage of the aging process. At this age, the body experiences a decline in physical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endurance and becomes more susceptible to diseases that can be fatal. This is due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changes in the structure and function of cells, tissues, and organs. One risk that often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occurs in older people is the occurrence of stroke, a medical condition that can result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serious impacts on health (Lindley, 2018). Special characteristics possessed by elderly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people can be a factor that triggers the occurrence of stroke (Hanum, Lubis,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Rasmaliah, 2018). The older a person gets, the higher the risk of stroke. Data shows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prevalence of stroke increases with age, reaching around 69% in individuals over 65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years of age and around 34.4% in individuals over 75 years of age (Lo Coco, Lopez,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Corrao, 2016). </w:t>
      </w:r>
    </w:p>
    <w:p>
      <w:pPr>
        <w:autoSpaceDN w:val="0"/>
        <w:autoSpaceDE w:val="0"/>
        <w:widowControl/>
        <w:spacing w:line="245" w:lineRule="auto" w:before="56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causes of stroke can be categorized into modifiable and non-modifiable risk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factors. Modifiable risk factors include conditions such as high cholesterol levels,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diabetes mellitus, and high blood pressure, as well as unhealthy lifestyles such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drinking alcohol, lack of physical activity, exposure to pollution, consumption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unhealthy foods, and smoking. On the other hand, there are non-modifiable risk factors,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such as age, gender, ethnicity or race, and family history of stroke (Meschia et al., 2014).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People who have a stroke often experience a variety of functional impairments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include motor, psychological, or behavioral problems. One of the most characteristic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symptoms is hemiparesis, which is weakness or paralysis on one side of the body, either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right or left side, depending on the location of the stroke. In addition, a person who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has had a stroke may also lose the appropriate ability on the side of the body affected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by the stroke, so they may have difficulty in performing daily activities (KRISNAWATI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DWI, 2023).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Sensory disturbances are also common, such as loss of sensation in the face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other parts of the body, which can affect a person's ability to sense touch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temperature. Speech difficulties are also a common symptom of stroke, where a person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may have difficulty pronouncing words clearly or expressing their thoughts correctly.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Loss of vision on one side of the eye or one side of the body can also result from stroke,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known as hemianopsia, which can impair a person's ability to see objects or people 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one side of their body (Harahap &amp; Siringo-Ringo, 2020). All of these symptoms can have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significant impact on a person's quality of life, especially the elderly, as their body may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already be experiencing decreased function and weakness. </w:t>
      </w:r>
    </w:p>
    <w:p>
      <w:pPr>
        <w:autoSpaceDN w:val="0"/>
        <w:autoSpaceDE w:val="0"/>
        <w:widowControl/>
        <w:spacing w:line="245" w:lineRule="auto" w:before="52" w:after="0"/>
        <w:ind w:left="262" w:right="144" w:firstLine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There are two main classifications of strokes that occur in humans. One is non-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hemorrhagic stroke, which is often referred to as ischemic stroke. Non-hemorrhagic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stroke occurs when there is an interruption of blood circulation in the brain due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blockage of blood vessels without any bleeding. This is in contrast to the other type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stroke, namely hemorrhagic stroke, where there is bleeding in the brain. It is important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note that the majority of stroke cases that occur, approximately 83% of total patients,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are non-hemorrhagic strokes (Harahap &amp; Siringo-Ringo, 2020). This indicates a high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prevalence of this type of stroke, so the study will focus on cases of this type of stroke. </w:t>
      </w:r>
    </w:p>
    <w:p>
      <w:pPr>
        <w:autoSpaceDN w:val="0"/>
        <w:autoSpaceDE w:val="0"/>
        <w:widowControl/>
        <w:spacing w:line="245" w:lineRule="auto" w:before="54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More than eighty percent of stroke cases are caused by an ischemic process, which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results from a thrombotic or thromboembolic blockage of an artery. Blood clots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most common in extracranial cerebral arteries, the heart (associated with conditions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such as atrial fibrillation, mitral valve disease, or left ventricular thrombus), small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102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287 </w:t>
      </w:r>
    </w:p>
    <w:p>
      <w:pPr>
        <w:sectPr>
          <w:pgSz w:w="11906" w:h="16838"/>
          <w:pgMar w:top="378" w:right="144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578" w:right="144" w:hanging="165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Correlation Between Blood Glucose Levels And Risk Of Non-Hemorrhagic Stroke: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Analysis Of A Prospective Cohort Study In An Elderly Population </w:t>
      </w:r>
    </w:p>
    <w:p>
      <w:pPr>
        <w:autoSpaceDN w:val="0"/>
        <w:autoSpaceDE w:val="0"/>
        <w:widowControl/>
        <w:spacing w:line="245" w:lineRule="auto" w:before="462" w:after="0"/>
        <w:ind w:left="262" w:right="21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arteries entering the brain (known as lacunar stroke), and plaques in the aortic arch.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Ischemic stroke can be divided into several types, including large artery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atherothrombosis, cerebral embolism, lacunar stroke, and systemic hypoperfusion.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Symptoms of ischemic stroke are usually focal neurological deficits that correspond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distribution of the affected blood vessels. The manifestation of symptoms can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variable, and there is often a progressive decline in neurologic function or in a stepwise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pattern. Symptoms such as vomiting and decreased consciousness are rare in ischemic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stroke (Hanum et al., 2018). </w:t>
      </w:r>
    </w:p>
    <w:p>
      <w:pPr>
        <w:autoSpaceDN w:val="0"/>
        <w:autoSpaceDE w:val="0"/>
        <w:widowControl/>
        <w:spacing w:line="245" w:lineRule="auto" w:before="52" w:after="0"/>
        <w:ind w:left="262" w:right="208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Non-hemorrhagic stroke in the elderly can be a serious threat as there are many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risk factors that influence the incidence of stroke. These risk factors include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hypertension, diabetes mellitus (DM), hypercholesterolemia, smoking, alcohol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consumption, atrial fibrillation, as well as other factors such as obesity, physical activity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level, drug use, and oral contraceptive use (Hardika et al., 2020). In the case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elderly, these factors can be more complex as their bodies tend to undergo physical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metabolic changes that affect stroke risk.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Knowing the risk factors that cause non-hemorrhagic stroke is important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prevent the possibility of occurrence, especially in the elderly population. One risk factor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needs to be considered is maintaining blood glucose levels within a normal range.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is because high blood glucose levels, or hyperglycemia, is often found in stroke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 and is associated with lower survival rates. Several studies have shown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acute ischemic stroke patients who experience hyperglycemia have a higher mortality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rate. In fact, there is a study that states that patients with equivalent blood glucose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levels, either with or without a history of diabetes, have equivalent outcomes in terms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acute ischemic stroke outcomes (Hanjaya et al., 2019).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Glucose levels in the blood are the main source of energy for the body's cells.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Normally, blood glucose levels are in the range of 70-150 mg/dL, with an increase after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meals and reaching its lowest point in the morning before food consumption. Balanced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blood glucose levels are essential for maintaining optimal body function. This regulation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glucose levels is mainly governed by the hormone insulin, which lowers blood glucose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levels, and the hormone glucagon, which increases blood glucose levels (Wulandari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Kurnianingsih, 2018). Experts agree that blood glucose levels above 150 mg/100 ml may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increase the risk of atherothrombotic brain infarction, especially in elderly women, who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tend to have a higher risk than men. This condition becomes an independent risk factor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contributes to the increased incidence of stroke in elderly women (WATTIMENA,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2017).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 is a significant relationship between elevated blood glucose levels and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risk of stroke. Elevated blood glucose levels, or hyperglycemia, can worsen acidosis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conditions due to the accumulation of lactic acid, which increases the production of free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radicals and disrupts intracellular signal transduction processes and endonuclease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activation. This can lead to more extensive damage to brain tissue. In addition,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hyperglycemia can also stimulate the release of certain amino acids, especially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glutamate, which has an important role in activating postsynaptic glutamate receptors,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particularly NMDA (N-methyl-D-aspartate) receptors. Based on research (Hanjaya et al.,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2019), it is concluded that high blood glucose levels can double the risk of stroke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compared to patients who have good blood glucose control.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73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288</w:t>
      </w:r>
    </w:p>
    <w:p>
      <w:pPr>
        <w:sectPr>
          <w:pgSz w:w="11906" w:h="16838"/>
          <w:pgMar w:top="378" w:right="144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Williem Alexander Hartanto </w:t>
      </w:r>
    </w:p>
    <w:p>
      <w:pPr>
        <w:autoSpaceDN w:val="0"/>
        <w:autoSpaceDE w:val="0"/>
        <w:widowControl/>
        <w:spacing w:line="245" w:lineRule="auto" w:before="754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Stroke patients who experience hyperglycemia have the potential to worsen their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stroke condition compared to those who have normal blood glucose levels. According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(Hermawan, 2022) found that there was a correlation between blood glucose levels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stroke incidence rates at RSI Sultan Agung Semarang. High blood glucose levels increase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risk of recurrent ischemic stroke. Stroke patients who have high blood glucose levels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have a four-fold higher risk of re-ischemic stroke compared to those with normal blood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glucose levels.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relationship between blood glucose levels and non-hemorrhagic stroke may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also be influenced by obesity, which is one of the risk factors for non-hemorrhagic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stroke. Obesity is closely related to increased blood pressure and high blood glucose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levels. When a person is obese, the heart has to work harder to pump blood throughout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body, which can lead to increased blood pressure. In addition, obesity also tends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cause chronic inflammation in the body and can affect glucose metabolism. This can lead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insulin resistance, where the body's cells become less responsive to insulin, which can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lead to increased blood glucose levels. The combination of high blood pressure,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uncontrolled blood glucose levels, and chronic inflammation can increase the risk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non-hemorrhagic stroke (Hardika et al., 2020).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these results, it can be said that there is a significant correlation between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blood glucose levels and non-hemorrhagic stroke, which also applies to the elderly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population. Research conducted by (Kurniawati et al., 2021) showed that there is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relationship between blood glucose levels and blood pressure and the risk of stroke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elderly. This means that high blood glucose levels in the elderly can contribute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increased blood pressure, which in turn increases the risk of stroke. This finding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emphasizes the importance of monitoring and controlling blood glucose levels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elderly as part of stroke prevention strategies. </w:t>
      </w:r>
    </w:p>
    <w:p>
      <w:pPr>
        <w:autoSpaceDN w:val="0"/>
        <w:autoSpaceDE w:val="0"/>
        <w:widowControl/>
        <w:spacing w:line="245" w:lineRule="auto" w:before="56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Therefore, optimal control of blood glucose levels is an important strategy in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effort to reduce the risk of non-hemorrhagic stroke in the elderly population. (Karno,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2023) describes several complementary therapies that have been recognized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Indonesia as potentially effective in helping to lower blood glucose levels. These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therapies include the consumption of boiled water of various ingredients such as bitter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melon, gambas vegetable, guava leaf, kersen leaf, bengkuang starch juice, bay leaf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red ginger herbal tea, and acacia leaf decoction drink. Other complementary therapies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mentioned include Benson relaxation, foot reflexology and foot exercises, acupressure,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yoga, hydrotherapy, and aromatherapy.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Consumption of boiled water from ingredients such as bitter melon, gambas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vegetable, guava leaf, kersen leaf, bengkuang starch juice, bay leaf and red ginger herbal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tea, and acacia leaf boiled water has been proven effective in reducing blood glucose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levels. In addition, the Benson relaxation technique, which is a combination of relaxation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the patient's beliefs, can help patients to feel relaxed and calm, thus reducing blood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glucose levels. Foot reflexology and foot exercises also reduce blood sugar levels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increasing the smooth flow of the spleen. Acupressure techniques can reduce blood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glucose by activating carbohydrate metabolism enzymes, increasing insulin synthesis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pancreas, increasing target cell receptors, and increasing blood sugar utilization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cells.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131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289 </w:t>
      </w:r>
    </w:p>
    <w:p>
      <w:pPr>
        <w:sectPr>
          <w:pgSz w:w="11906" w:h="16838"/>
          <w:pgMar w:top="378" w:right="144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578" w:right="144" w:hanging="165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Correlation Between Blood Glucose Levels And Risk Of Non-Hemorrhagic Stroke: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Analysis Of A Prospective Cohort Study In An Elderly Population </w:t>
      </w:r>
    </w:p>
    <w:p>
      <w:pPr>
        <w:autoSpaceDN w:val="0"/>
        <w:autoSpaceDE w:val="0"/>
        <w:widowControl/>
        <w:spacing w:line="245" w:lineRule="auto" w:before="462" w:after="0"/>
        <w:ind w:left="262" w:right="144" w:firstLine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Meanwhile, yoga therapy is a physical exercise that provides calmness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reduces stress so that it can cause a decrease in blood glucose levels. Hydrotherapy,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which is water therapy, involves drinking 1.5 liters of water every morning after waking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up and can also help break down blood sugar in the body. Aromatherapy therapy using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lavender has also been proven effective in lowering blood glucose levels in diabetic </w:t>
      </w:r>
      <w:r>
        <w:rPr>
          <w:rFonts w:ascii="Calibri" w:hAnsi="Calibri" w:eastAsia="Calibri"/>
          <w:b w:val="0"/>
          <w:i w:val="0"/>
          <w:color w:val="000000"/>
          <w:sz w:val="24"/>
        </w:rPr>
        <w:t>patients. This aromatherapy contains linalool acetate, which is sedative and anti-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neurodepressive, able to weaken the nervous system and tense muscles and provide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calmness. </w:t>
      </w:r>
    </w:p>
    <w:p>
      <w:pPr>
        <w:autoSpaceDN w:val="0"/>
        <w:autoSpaceDE w:val="0"/>
        <w:widowControl/>
        <w:spacing w:line="245" w:lineRule="auto" w:before="52" w:after="0"/>
        <w:ind w:left="262" w:right="144" w:firstLine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Thus, given the correlation between blood glucose levels and the incidence of non-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hemorrhagic stroke in the elderly, attention to controlling blood glucose levels may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 effective measure in preventing non-hemorrhagic stroke in this age group. Various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therapeutic options and strategies available to lower blood glucose levels may help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managing the risk of non-hemorrhagic stroke, especially in the elderly population.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CONCLUSIONS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results confirmed a significant positive correlation between blood glucose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levels and the risk of non-hemorrhagic stroke in the elderly population. Elderly who have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high blood glucose levels tend to have a higher risk of non-hemorrhagic stroke compared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those who have blood glucose levels within the normal range. Therefore, good blood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glucose control is an important strategy in reducing the risk of non-hemorrhagic stroke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elderly population. Thus, attention to blood glucose control can be one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effective measures in preventing non-hemorrhagic stroke in the elderly. </w:t>
      </w:r>
    </w:p>
    <w:p>
      <w:pPr>
        <w:autoSpaceDN w:val="0"/>
        <w:autoSpaceDE w:val="0"/>
        <w:widowControl/>
        <w:spacing w:line="197" w:lineRule="auto" w:before="346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REFERENCES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348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AA, Muhammad Pany, &amp; Boy, Elman. (2020). Prevalensi Nyeri Pada Lansia.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MAGNA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MEDICA: Berkala Ilmiah Kedokteran Dan Kesehatan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138. 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Akbar, Fredy, Darmiati, Darmiati, Arfan, Farmin, &amp; Putri, Andi Ainun Zanzadila. (2021). </w:t>
      </w:r>
    </w:p>
    <w:p>
      <w:pPr>
        <w:autoSpaceDN w:val="0"/>
        <w:autoSpaceDE w:val="0"/>
        <w:widowControl/>
        <w:spacing w:line="245" w:lineRule="auto" w:before="52" w:after="0"/>
        <w:ind w:left="74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Pelatihan dan Pendampingan Kader Posyandu Lansia di Kecamatan Wonomulyo. </w:t>
      </w:r>
      <w:r>
        <w:rPr>
          <w:rFonts w:ascii="Calibri" w:hAnsi="Calibri" w:eastAsia="Calibri"/>
          <w:b w:val="0"/>
          <w:i/>
          <w:color w:val="000000"/>
          <w:sz w:val="24"/>
        </w:rPr>
        <w:t>Jurnal Abdidas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392–397.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Dinata, Windo Wiria. (2015). Menurunkan Tekanan Darah Pada Lansiamelalui Senam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Yoga. </w:t>
      </w:r>
      <w:r>
        <w:rPr>
          <w:rFonts w:ascii="Calibri" w:hAnsi="Calibri" w:eastAsia="Calibri"/>
          <w:b w:val="0"/>
          <w:i/>
          <w:color w:val="000000"/>
          <w:sz w:val="24"/>
        </w:rPr>
        <w:t>JORPRES (Jurnal Olahraga Prestasi)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Fadli, Muhammad Rijal. (2021). Memahami desain metode penelitian kualitatif.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Humanika, Kajian Ilmiah Mata Kuliah Umum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33–54. </w:t>
      </w:r>
    </w:p>
    <w:p>
      <w:pPr>
        <w:autoSpaceDN w:val="0"/>
        <w:autoSpaceDE w:val="0"/>
        <w:widowControl/>
        <w:spacing w:line="245" w:lineRule="auto" w:before="54" w:after="0"/>
        <w:ind w:left="742" w:right="208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Hanjaya, Hermawan, Paryono, Paryono, Setyopranoto, Ismail, Thursina, Cempaka,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Satiti, Sekar. (2019). Hubungan Kadar Gula Darah Puasa Saat Terjadinya Stroke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Dengan Nih Stroke Scale Pada Pasien Stroke Iskemik Akut Di Rsup Dr Sardjito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Yogyakarta. </w:t>
      </w:r>
      <w:r>
        <w:rPr>
          <w:rFonts w:ascii="Calibri" w:hAnsi="Calibri" w:eastAsia="Calibri"/>
          <w:b w:val="0"/>
          <w:i/>
          <w:color w:val="000000"/>
          <w:sz w:val="24"/>
        </w:rPr>
        <w:t>Callosum Neurology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34–37. </w:t>
      </w:r>
    </w:p>
    <w:p>
      <w:pPr>
        <w:autoSpaceDN w:val="0"/>
        <w:autoSpaceDE w:val="0"/>
        <w:widowControl/>
        <w:spacing w:line="245" w:lineRule="auto" w:before="52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Hanum, Parida, Lubis, Rahayu, &amp; Rasmaliah, Rasmaliah. (2018). Hubungan karakteristik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dan dukungan keluarga lansia dengan kejadian stroke pada lansia hipertensi di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Rumah Sakit Umum Pusat Haji Adam Malik Medan.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JUMANTIK (Jurnal Ilmiah </w:t>
      </w:r>
      <w:r>
        <w:rPr>
          <w:rFonts w:ascii="Calibri" w:hAnsi="Calibri" w:eastAsia="Calibri"/>
          <w:b w:val="0"/>
          <w:i/>
          <w:color w:val="000000"/>
          <w:sz w:val="24"/>
        </w:rPr>
        <w:t>Penelitian Kesehatan)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72–88.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Harahap, Solihuddin, &amp; Siringo-Ringo, ERIKA. (2020).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Aktivitas Sehari-hari Pasien Stroke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Non Hemoragik Di RSUD Dr. PIRNGADI Medan Tahun 2016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Hardika, Bangun Dwi, Yuwono, M., &amp; Zulkarnain, H. M. (2020). Faktor Risiko yang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73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290</w:t>
      </w:r>
    </w:p>
    <w:p>
      <w:pPr>
        <w:sectPr>
          <w:pgSz w:w="11906" w:h="16838"/>
          <w:pgMar w:top="378" w:right="144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Williem Alexander Hartanto </w:t>
      </w:r>
    </w:p>
    <w:p>
      <w:pPr>
        <w:autoSpaceDN w:val="0"/>
        <w:autoSpaceDE w:val="0"/>
        <w:widowControl/>
        <w:spacing w:line="245" w:lineRule="auto" w:before="754" w:after="0"/>
        <w:ind w:left="74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Mempengaruhi Terjadinya Stroke Non Hemoragik pada Pasien di RS RK Charitas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dan RS Myria Palembang. </w:t>
      </w:r>
      <w:r>
        <w:rPr>
          <w:rFonts w:ascii="Calibri" w:hAnsi="Calibri" w:eastAsia="Calibri"/>
          <w:b w:val="0"/>
          <w:i/>
          <w:color w:val="000000"/>
          <w:sz w:val="24"/>
        </w:rPr>
        <w:t>Jurnal Akademika Baiturrahim Jambi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268–274. </w:t>
      </w:r>
    </w:p>
    <w:p>
      <w:pPr>
        <w:autoSpaceDN w:val="0"/>
        <w:autoSpaceDE w:val="0"/>
        <w:widowControl/>
        <w:spacing w:line="245" w:lineRule="auto" w:before="54" w:after="0"/>
        <w:ind w:left="742" w:right="208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Hermawan, Muhamad Danang Yuda. (2022).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Hubungan Kadar Gula Darah Dengan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Angka Kejadian Stroke Di Rsi Sultan Agung Semarang (Studi Observasional Analitik </w:t>
      </w:r>
      <w:r>
        <w:rPr>
          <w:rFonts w:ascii="Calibri" w:hAnsi="Calibri" w:eastAsia="Calibri"/>
          <w:b w:val="0"/>
          <w:i/>
          <w:color w:val="000000"/>
          <w:sz w:val="24"/>
        </w:rPr>
        <w:t>di RSI Sultan Agung Semarang)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Universitas Islam Sultan Agung. </w:t>
      </w:r>
    </w:p>
    <w:p>
      <w:pPr>
        <w:autoSpaceDN w:val="0"/>
        <w:autoSpaceDE w:val="0"/>
        <w:widowControl/>
        <w:spacing w:line="245" w:lineRule="auto" w:before="52" w:after="0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Karno, Wa Ode Yumna Ultamil. (2023). Menjelajahi Telerehabilitasi Sebagai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Pemanfaatan Teknologi Dalam Rehabilitasi Pasien Stroke: Literature Review.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Jurnal </w:t>
      </w:r>
      <w:r>
        <w:rPr>
          <w:rFonts w:ascii="Calibri" w:hAnsi="Calibri" w:eastAsia="Calibri"/>
          <w:b w:val="0"/>
          <w:i/>
          <w:color w:val="000000"/>
          <w:sz w:val="24"/>
        </w:rPr>
        <w:t>Kesehatan Unggul Gemilang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7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(12). </w:t>
      </w:r>
    </w:p>
    <w:p>
      <w:pPr>
        <w:autoSpaceDN w:val="0"/>
        <w:autoSpaceDE w:val="0"/>
        <w:widowControl/>
        <w:spacing w:line="245" w:lineRule="auto" w:before="52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Khudin, Adni Miftah, Muzayyin, Ahmad, &amp; Widhiyastuti, Endang. (2014).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Hubungan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Kadar Gula Darah Sewaktu dengan Kejadian Stroke Iskemik Ulang di Rumah Sakit </w:t>
      </w:r>
      <w:r>
        <w:rPr>
          <w:rFonts w:ascii="Calibri" w:hAnsi="Calibri" w:eastAsia="Calibri"/>
          <w:b w:val="0"/>
          <w:i/>
          <w:color w:val="000000"/>
          <w:sz w:val="24"/>
        </w:rPr>
        <w:t>Umum Daerah Sukoharjo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Universitas Muhammadiyah Surakarta. </w:t>
      </w:r>
    </w:p>
    <w:p>
      <w:pPr>
        <w:autoSpaceDN w:val="0"/>
        <w:autoSpaceDE w:val="0"/>
        <w:widowControl/>
        <w:spacing w:line="245" w:lineRule="auto" w:before="56" w:after="0"/>
        <w:ind w:left="742" w:right="144" w:hanging="48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KRISNAWATI, FRISKA A. Y. U., &amp; DWI, BINARTI. (2023).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Analisis Asuhan Keperawatan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Dengan Penerapan Intervensi Terapi Cermin Sebagai Upaya Peningkatan Rom Aktif </w:t>
      </w:r>
      <w:r>
        <w:rPr>
          <w:rFonts w:ascii="Calibri" w:hAnsi="Calibri" w:eastAsia="Calibri"/>
          <w:b w:val="0"/>
          <w:i/>
          <w:color w:val="000000"/>
          <w:sz w:val="24"/>
        </w:rPr>
        <w:t>Pada Pasien Cerebrovascular Accident (CVA) Infark Di Ruang Melati RSUD Bangil-</w:t>
      </w:r>
      <w:r>
        <w:rPr>
          <w:rFonts w:ascii="Calibri" w:hAnsi="Calibri" w:eastAsia="Calibri"/>
          <w:b w:val="0"/>
          <w:i/>
          <w:color w:val="000000"/>
          <w:sz w:val="24"/>
        </w:rPr>
        <w:t>Pasuruan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Perpustakaan Universitas Bina Sehat. </w:t>
      </w:r>
    </w:p>
    <w:p>
      <w:pPr>
        <w:autoSpaceDN w:val="0"/>
        <w:autoSpaceDE w:val="0"/>
        <w:widowControl/>
        <w:spacing w:line="245" w:lineRule="auto" w:before="52" w:after="0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Kurniawati, Dewi, Izzati, Wisnatul, &amp; Nengsih, Yulia. (2021). Glukosa Darah Pasien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Diabetes Mellitus Dan Tekanan Darah Serta Risiko Stroke Pada Lansia.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Jurnal </w:t>
      </w:r>
      <w:r>
        <w:rPr>
          <w:rFonts w:ascii="Calibri" w:hAnsi="Calibri" w:eastAsia="Calibri"/>
          <w:b w:val="0"/>
          <w:i/>
          <w:color w:val="000000"/>
          <w:sz w:val="24"/>
        </w:rPr>
        <w:t>Kesehatan Mercusuar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60–65.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Lindley, Richard I. (2018). Stroke prevention in the very elderly. </w:t>
      </w:r>
      <w:r>
        <w:rPr>
          <w:rFonts w:ascii="Calibri" w:hAnsi="Calibri" w:eastAsia="Calibri"/>
          <w:b w:val="0"/>
          <w:i/>
          <w:color w:val="000000"/>
          <w:sz w:val="24"/>
        </w:rPr>
        <w:t>Stroke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49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(3), 796–802.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 Coco, Daniele, Lopez, Gianluca, &amp; Corrao, Salvatore. (2016). Cognitive impairment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stroke in elderly patients. </w:t>
      </w:r>
      <w:r>
        <w:rPr>
          <w:rFonts w:ascii="Calibri" w:hAnsi="Calibri" w:eastAsia="Calibri"/>
          <w:b w:val="0"/>
          <w:i/>
          <w:color w:val="000000"/>
          <w:sz w:val="24"/>
        </w:rPr>
        <w:t>Vascular Health and Risk Management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105–116.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Lumi, Femmy, Terok, Maria, &amp; Budiman, Freyjer. (2018). Hubungan derajat penyakit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hipertensi dengan tingkat kecemasan pada kelompok lanjut usia di wilayah kerja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puskesmas kahakitang kecamatan tatoareng.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Media Kesehatan Politeknik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Kesehatan Makassar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59–68. </w:t>
      </w:r>
    </w:p>
    <w:p>
      <w:pPr>
        <w:autoSpaceDN w:val="0"/>
        <w:autoSpaceDE w:val="0"/>
        <w:widowControl/>
        <w:spacing w:line="245" w:lineRule="auto" w:before="56" w:after="0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Mendelson, Scott J., &amp; Prabhakaran, Shyam. (2021). Diagnosis and management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transient ischemic attack and acute ischemic stroke: a review. </w:t>
      </w:r>
      <w:r>
        <w:rPr>
          <w:rFonts w:ascii="Calibri" w:hAnsi="Calibri" w:eastAsia="Calibri"/>
          <w:b w:val="0"/>
          <w:i/>
          <w:color w:val="000000"/>
          <w:sz w:val="24"/>
        </w:rPr>
        <w:t>Jama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325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(11),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1088–1098. </w:t>
      </w:r>
    </w:p>
    <w:p>
      <w:pPr>
        <w:autoSpaceDN w:val="0"/>
        <w:autoSpaceDE w:val="0"/>
        <w:widowControl/>
        <w:spacing w:line="245" w:lineRule="auto" w:before="52" w:after="26"/>
        <w:ind w:left="742" w:right="208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Meschia, James F., Bushnell, Cheryl, Boden-Albala, Bernadette, Braun, Lynne T., Bravata,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Dawn M., Chaturvedi, Seemant, Creager, Mark A., Eckel, Robert H., Elkind, Mitchell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S. V, &amp; Fornage, Myriam. (2014). Guidelines for the primary prevention of stroke: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rPr>
          <w:trHeight w:hRule="exact" w:val="29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3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statement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for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healthcare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professionals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from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the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American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Heart </w:t>
            </w:r>
          </w:p>
        </w:tc>
      </w:tr>
    </w:tbl>
    <w:p>
      <w:pPr>
        <w:autoSpaceDN w:val="0"/>
        <w:autoSpaceDE w:val="0"/>
        <w:widowControl/>
        <w:spacing w:line="197" w:lineRule="auto" w:before="26" w:after="0"/>
        <w:ind w:left="7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Association/American Stroke Association. </w:t>
      </w:r>
      <w:r>
        <w:rPr>
          <w:rFonts w:ascii="Calibri" w:hAnsi="Calibri" w:eastAsia="Calibri"/>
          <w:b w:val="0"/>
          <w:i/>
          <w:color w:val="000000"/>
          <w:sz w:val="24"/>
        </w:rPr>
        <w:t>Stroke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45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(12), 3754–3832. </w:t>
      </w:r>
    </w:p>
    <w:p>
      <w:pPr>
        <w:autoSpaceDN w:val="0"/>
        <w:autoSpaceDE w:val="0"/>
        <w:widowControl/>
        <w:spacing w:line="245" w:lineRule="auto" w:before="52" w:after="0"/>
        <w:ind w:left="742" w:right="210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Prince, Martin J., Wu, Fan, Guo, Yanfei, Robledo, Luis M. Gutierrez, O’Donnell, Martin,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Sullivan, Richard, &amp; Yusuf, Salim. (2015). The burden of disease in older people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implications for health policy and practice. </w:t>
      </w:r>
      <w:r>
        <w:rPr>
          <w:rFonts w:ascii="Calibri" w:hAnsi="Calibri" w:eastAsia="Calibri"/>
          <w:b w:val="0"/>
          <w:i/>
          <w:color w:val="000000"/>
          <w:sz w:val="24"/>
        </w:rPr>
        <w:t>The Lancet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385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(9967), 549–562. </w:t>
      </w:r>
    </w:p>
    <w:p>
      <w:pPr>
        <w:autoSpaceDN w:val="0"/>
        <w:autoSpaceDE w:val="0"/>
        <w:widowControl/>
        <w:spacing w:line="245" w:lineRule="auto" w:before="54" w:after="0"/>
        <w:ind w:left="742" w:right="212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Rachmawati, Dewi, Marshela, Cindy, &amp; Sunarno, Imam. (2022). Perbedaan faktor resiko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penyebab stroke pada lansia dan remaja: Differences in risk factors for stroke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elderly and adolescents. </w:t>
      </w:r>
      <w:r>
        <w:rPr>
          <w:rFonts w:ascii="Calibri" w:hAnsi="Calibri" w:eastAsia="Calibri"/>
          <w:b w:val="0"/>
          <w:i/>
          <w:color w:val="000000"/>
          <w:sz w:val="24"/>
        </w:rPr>
        <w:t>Bali Medika Jurnal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(3), 207–221. </w:t>
      </w:r>
    </w:p>
    <w:p>
      <w:pPr>
        <w:autoSpaceDN w:val="0"/>
        <w:autoSpaceDE w:val="0"/>
        <w:widowControl/>
        <w:spacing w:line="245" w:lineRule="auto" w:before="54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Ramadany, Aulya Farra. (2012).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Hubungan Diabetes Melitus Dengan Kejadian Stroke </w:t>
      </w:r>
      <w:r>
        <w:rPr>
          <w:rFonts w:ascii="Calibri" w:hAnsi="Calibri" w:eastAsia="Calibri"/>
          <w:b w:val="0"/>
          <w:i/>
          <w:color w:val="000000"/>
          <w:sz w:val="24"/>
        </w:rPr>
        <w:t>Iskemik Di Rsud Dr. Moewardi Surakarta Tahun 2010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Universitas Muhammadiyah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Surakarta. </w:t>
      </w:r>
    </w:p>
    <w:p>
      <w:pPr>
        <w:autoSpaceDN w:val="0"/>
        <w:autoSpaceDE w:val="0"/>
        <w:widowControl/>
        <w:spacing w:line="245" w:lineRule="auto" w:before="52" w:after="0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Sonyorini, Sri Hesthi, &amp; Sulastri, Sulastri. (2023). Gambaran Pengelolaan Hambatan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Mobilitas Fisik Pada Pasien Stroke Non Hemoragik Dengan Latihan Genggam Bola. </w:t>
      </w:r>
      <w:r>
        <w:rPr>
          <w:rFonts w:ascii="Calibri" w:hAnsi="Calibri" w:eastAsia="Calibri"/>
          <w:b w:val="0"/>
          <w:i/>
          <w:color w:val="000000"/>
          <w:sz w:val="24"/>
        </w:rPr>
        <w:t>Jurnal Surya Muda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42–54.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102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291 </w:t>
      </w:r>
    </w:p>
    <w:p>
      <w:pPr>
        <w:sectPr>
          <w:pgSz w:w="11906" w:h="16838"/>
          <w:pgMar w:top="378" w:right="144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578" w:right="144" w:hanging="165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Correlation Between Blood Glucose Levels And Risk Of Non-Hemorrhagic Stroke: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Analysis Of A Prospective Cohort Study In An Elderly Population </w:t>
      </w:r>
    </w:p>
    <w:p>
      <w:pPr>
        <w:autoSpaceDN w:val="0"/>
        <w:autoSpaceDE w:val="0"/>
        <w:widowControl/>
        <w:spacing w:line="245" w:lineRule="auto" w:before="462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Wattimena, Christy. (2017).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Analisis Faktor Risiko Terhadap Kejadian Non Hemoragic </w:t>
      </w:r>
      <w:r>
        <w:rPr>
          <w:rFonts w:ascii="Calibri" w:hAnsi="Calibri" w:eastAsia="Calibri"/>
          <w:b w:val="0"/>
          <w:i/>
          <w:color w:val="000000"/>
          <w:sz w:val="24"/>
        </w:rPr>
        <w:t>Stroke (NHS) Di Ruang Perawatan RSUP DR. Wahidin Sudirohusodo Makassar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STIK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Stella Maris. </w:t>
      </w:r>
    </w:p>
    <w:p>
      <w:pPr>
        <w:autoSpaceDN w:val="0"/>
        <w:autoSpaceDE w:val="0"/>
        <w:widowControl/>
        <w:spacing w:line="197" w:lineRule="auto" w:before="39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Copyright Holder: </w:t>
      </w:r>
    </w:p>
    <w:p>
      <w:pPr>
        <w:autoSpaceDN w:val="0"/>
        <w:autoSpaceDE w:val="0"/>
        <w:widowControl/>
        <w:spacing w:line="197" w:lineRule="auto" w:before="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Williem Alexander Hartanto </w:t>
      </w:r>
      <w:r>
        <w:rPr>
          <w:rFonts w:ascii="Calibri" w:hAnsi="Calibri" w:eastAsia="Calibri"/>
          <w:b w:val="0"/>
          <w:i w:val="0"/>
          <w:color w:val="000000"/>
          <w:sz w:val="24"/>
        </w:rPr>
        <w:t>(2024)</w:t>
      </w:r>
    </w:p>
    <w:p>
      <w:pPr>
        <w:autoSpaceDN w:val="0"/>
        <w:autoSpaceDE w:val="0"/>
        <w:widowControl/>
        <w:spacing w:line="197" w:lineRule="auto" w:before="436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First Publication Right: </w:t>
      </w:r>
    </w:p>
    <w:p>
      <w:pPr>
        <w:autoSpaceDN w:val="0"/>
        <w:autoSpaceDE w:val="0"/>
        <w:widowControl/>
        <w:spacing w:line="197" w:lineRule="auto" w:before="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 </w:t>
      </w:r>
    </w:p>
    <w:p>
      <w:pPr>
        <w:autoSpaceDN w:val="0"/>
        <w:autoSpaceDE w:val="0"/>
        <w:widowControl/>
        <w:spacing w:line="197" w:lineRule="auto" w:before="434" w:after="0"/>
        <w:ind w:left="0" w:right="291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This article is licensed under: </w:t>
      </w:r>
    </w:p>
    <w:p>
      <w:pPr>
        <w:autoSpaceDN w:val="0"/>
        <w:autoSpaceDE w:val="0"/>
        <w:widowControl/>
        <w:spacing w:line="240" w:lineRule="auto" w:before="48" w:after="50"/>
        <w:ind w:left="0" w:right="37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38200" cy="2959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91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13"/>
        <w:gridCol w:w="4513"/>
      </w:tblGrid>
      <w:tr>
        <w:trPr>
          <w:trHeight w:hRule="exact" w:val="9762"/>
        </w:trPr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Jurnal Health Sains, Vol. 5, No. 4, April 2024 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78" w:right="1440" w:bottom="50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