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sectPr>
          <w:pgSz w:w="11906" w:h="16838"/>
          <w:pgMar w:top="802" w:right="1440" w:bottom="496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869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802" w:right="1440" w:bottom="496" w:left="1440" w:header="720" w:footer="720" w:gutter="0"/>
          <w:cols w:num="2" w:equalWidth="0">
            <w:col w:w="4522" w:space="0"/>
            <w:col w:w="450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46"/>
        <w:ind w:left="712" w:right="144" w:firstLine="87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Volume 5, No. 5 May, 2024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 ISSN 2723-6927-e ISSN 2723-4339 </w:t>
      </w:r>
    </w:p>
    <w:p>
      <w:pPr>
        <w:sectPr>
          <w:type w:val="nextColumn"/>
          <w:pgSz w:w="11906" w:h="16838"/>
          <w:pgMar w:top="802" w:right="1440" w:bottom="496" w:left="1440" w:header="720" w:footer="720" w:gutter="0"/>
          <w:cols w:num="2" w:equalWidth="0">
            <w:col w:w="4522" w:space="0"/>
            <w:col w:w="450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Comparison of Sand Pillows and Cold Compresses in Reducing The Incidence of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Hematoma in Post Percutaneous Coronary Intervention (PCI) Patients: A Scoping </w:t>
      </w:r>
      <w:r>
        <w:rPr>
          <w:rFonts w:ascii="Calibri" w:hAnsi="Calibri" w:eastAsia="Calibri"/>
          <w:b/>
          <w:i w:val="0"/>
          <w:color w:val="000000"/>
          <w:sz w:val="24"/>
        </w:rPr>
        <w:t>Review</w:t>
      </w:r>
    </w:p>
    <w:p>
      <w:pPr>
        <w:autoSpaceDN w:val="0"/>
        <w:autoSpaceDE w:val="0"/>
        <w:widowControl/>
        <w:spacing w:line="245" w:lineRule="auto" w:before="326" w:after="0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Qomaruddin Asy’ary</w:t>
      </w:r>
      <w:r>
        <w:rPr>
          <w:rFonts w:ascii="Calibri" w:hAnsi="Calibri" w:eastAsia="Calibri"/>
          <w:b/>
          <w:i w:val="0"/>
          <w:color w:val="000000"/>
          <w:sz w:val="16"/>
        </w:rPr>
        <w:t>1</w:t>
      </w:r>
      <w:r>
        <w:rPr>
          <w:rFonts w:ascii="Calibri" w:hAnsi="Calibri" w:eastAsia="Calibri"/>
          <w:b/>
          <w:i w:val="0"/>
          <w:color w:val="000000"/>
          <w:sz w:val="24"/>
        </w:rPr>
        <w:t>, Titin Andri Wihastuti</w:t>
      </w:r>
      <w:r>
        <w:rPr>
          <w:rFonts w:ascii="Calibri" w:hAnsi="Calibri" w:eastAsia="Calibri"/>
          <w:b/>
          <w:i w:val="0"/>
          <w:color w:val="000000"/>
          <w:sz w:val="16"/>
        </w:rPr>
        <w:t>2</w:t>
      </w:r>
      <w:r>
        <w:rPr>
          <w:rFonts w:ascii="Calibri" w:hAnsi="Calibri" w:eastAsia="Calibri"/>
          <w:b/>
          <w:i w:val="0"/>
          <w:color w:val="000000"/>
          <w:sz w:val="24"/>
        </w:rPr>
        <w:t>, Dina Dewi Sartika Lestari Ismail</w:t>
      </w:r>
      <w:r>
        <w:rPr>
          <w:rFonts w:ascii="Calibri" w:hAnsi="Calibri" w:eastAsia="Calibri"/>
          <w:b/>
          <w:i w:val="0"/>
          <w:color w:val="000000"/>
          <w:sz w:val="16"/>
        </w:rPr>
        <w:t xml:space="preserve">3 </w:t>
      </w:r>
      <w:r>
        <w:rPr>
          <w:rFonts w:ascii="Calibri" w:hAnsi="Calibri" w:eastAsia="Calibri"/>
          <w:b/>
          <w:i w:val="0"/>
          <w:color w:val="000000"/>
          <w:sz w:val="16"/>
        </w:rPr>
        <w:t xml:space="preserve">1,2,3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Brawijaya University, Central Java, Indonesia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Email: qomaruddinasyary@gmail.com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462C1"/>
          <w:sz w:val="24"/>
          <w:u w:val="single"/>
        </w:rPr>
        <w:hyperlink r:id="rId10" w:history="1">
          <w:r>
            <w:rPr>
              <w:rStyle w:val="Hyperlink"/>
            </w:rPr>
            <w:t>wihastuti.fk@ub.ac.id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16"/>
        </w:rPr>
        <w:hyperlink r:id="rId10" w:history="1">
          <w:r>
            <w:rPr>
              <w:rStyle w:val="Hyperlink"/>
            </w:rPr>
            <w:t>2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,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462C1"/>
          <w:sz w:val="24"/>
          <w:u w:val="single"/>
        </w:rPr>
        <w:hyperlink r:id="rId11" w:history="1">
          <w:r>
            <w:rPr>
              <w:rStyle w:val="Hyperlink"/>
            </w:rPr>
            <w:t>dinasli@ub.ac.id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16"/>
        </w:rPr>
        <w:hyperlink r:id="rId11" w:history="1">
          <w:r>
            <w:rPr>
              <w:rStyle w:val="Hyperlink"/>
            </w:rPr>
            <w:t>3</w:t>
          </w:r>
        </w:hyperlink>
      </w:r>
    </w:p>
    <w:p>
      <w:pPr>
        <w:autoSpaceDN w:val="0"/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Coronary heart disease is the most common cause of morbidity and death in the world. </w:t>
      </w:r>
      <w:r>
        <w:rPr>
          <w:rFonts w:ascii="Calibri" w:hAnsi="Calibri" w:eastAsia="Calibri"/>
          <w:b w:val="0"/>
          <w:i w:val="0"/>
          <w:color w:val="000000"/>
          <w:sz w:val="24"/>
        </w:rPr>
        <w:t>Cardiac catheterization is applied to diagnose and treat coronary heart disease. Non-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invasive Percutaneous Coronary Intervention (PCI) aims to open narrowed coronary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blood vessels. The most frequently used vascular installation site is the femoral artery.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PCI procedure has several vascular complications, such as hematoma, which often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occur in post-PCI patients. Using sand pillows and cold compresses is one measure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reduce the incidence of hematomas. This study aims to compare the effectiveness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sand pillows and cold compresses in reducing hematomas in post-PCI patients. This study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was designed as a scoping review. Article searches were limited to 2019-2024. 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using the Google Scholar, ScienceDirect, and Proquest databases and using advanced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search with the keywords "sandbag," "cold pack," "hematoma," and "percutaneous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coronary intervention." A total of 45 articles were found, and then by applying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specified inclusion criteria, we found 6 articles. The 6 articles obtained show that using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sand pillow can reduce the duration of compression and speed up the achievement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hemostasis by pressing on the arteries. Meanwhile, using cold compresses and cold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packs can cause vasoconstriction of blood vessels, speed up blood clotting time,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 blood clots. It can be concluded that cold compresses are more effective in reducing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incidence of hematomas in post-PCI patients compared to using sand pillows. </w:t>
      </w:r>
    </w:p>
    <w:p>
      <w:pPr>
        <w:autoSpaceDN w:val="0"/>
        <w:autoSpaceDE w:val="0"/>
        <w:widowControl/>
        <w:spacing w:line="197" w:lineRule="auto" w:before="34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171615"/>
          <w:sz w:val="24"/>
        </w:rPr>
        <w:t>Keywords</w:t>
      </w:r>
      <w:r>
        <w:rPr>
          <w:rFonts w:ascii="Calibri" w:hAnsi="Calibri" w:eastAsia="Calibri"/>
          <w:b w:val="0"/>
          <w:i w:val="0"/>
          <w:color w:val="171615"/>
          <w:sz w:val="24"/>
        </w:rPr>
        <w:t>: cold pack, hematoma, percutaneous coronary intervention, sandbag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Acute coronary syndrome (ACS) is a cardiac emergency that causes high mortality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rates in hospitals. Compared to other causes, acute coronary syndrome is the cause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most cardiac arrest events, with a survival rate of &lt; 10% (Wihastuti et al., 2020).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According to WHO, in 2015, there were 17.5 million deaths out of all global deaths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caused by cardiovascular disease and 7.4 million deaths caused by acute coronary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syndrome (Goodwill </w:t>
      </w:r>
      <w:r>
        <w:rPr>
          <w:rFonts w:ascii="Calibri" w:hAnsi="Calibri" w:eastAsia="Calibri"/>
          <w:b w:val="0"/>
          <w:i/>
          <w:color w:val="000000"/>
          <w:sz w:val="24"/>
        </w:rPr>
        <w:t>et al.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2019). Cardiac catheterization is used to perform early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detection and establish the presence of coronary heart disease (Syahri &amp; Andriani,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2021). Cardiac catheterization is also defined as an action or procedure using a catheter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tube to evaluate the narrowing of the coronary blood vessels of the heart (Cauley et al.,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2019). </w:t>
      </w:r>
    </w:p>
    <w:p>
      <w:pPr>
        <w:autoSpaceDN w:val="0"/>
        <w:tabs>
          <w:tab w:pos="8402" w:val="left"/>
        </w:tabs>
        <w:autoSpaceDE w:val="0"/>
        <w:widowControl/>
        <w:spacing w:line="197" w:lineRule="auto" w:before="101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299 </w:t>
      </w:r>
    </w:p>
    <w:p>
      <w:pPr>
        <w:sectPr>
          <w:type w:val="continuous"/>
          <w:pgSz w:w="11906" w:h="16838"/>
          <w:pgMar w:top="802" w:right="144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20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Comparison Of Sand Pillows And Cold Compresses In Reducing The Incidence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Hematoma In Post Percutaneous Coronary Intervention (PCI) Patients: A Scoping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Review </w:t>
      </w:r>
    </w:p>
    <w:p>
      <w:pPr>
        <w:autoSpaceDN w:val="0"/>
        <w:autoSpaceDE w:val="0"/>
        <w:widowControl/>
        <w:spacing w:line="245" w:lineRule="auto" w:before="33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Cardiac catheterization is divided into two groups: coronary angiography and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Percutaneous Coronary Intervention (PCI).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PCI aims to open the narrowing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coronary blood vessels so that the blood supply to the ischemic tissue increases (Cheema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et al., 2020).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However, as with other interventional procedures, cardiac catheterization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causes major and minor complications. Major complications include myocardial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infarction, stroke, and death. Minor complications include transient ischemic attacks,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arrhythmias, vascular complications, allergic reactions related to contrast agents, and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renal failure. Among minor complications, vascular complications are more common </w:t>
      </w:r>
      <w:r>
        <w:rPr>
          <w:rFonts w:ascii="Calibri" w:hAnsi="Calibri" w:eastAsia="Calibri"/>
          <w:b w:val="0"/>
          <w:i w:val="0"/>
          <w:color w:val="171615"/>
          <w:sz w:val="24"/>
        </w:rPr>
        <w:t>than others (Korkmaz1a &amp; Karagözoğlu, 2022). Artery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Femoral is a frequently used access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PCI measures. However, there are some complications of femoral access, such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infection (0-1%), pseudoaneurysms and arteriovenous fistulas (0.1-0.6%),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hematomas (0.5-1.7%) (Sari et al., 2017).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Hematoma events are vascular complications that are frequent to PCI measures,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potentially leading to serious complications (Baidhowy et al., R, &amp; Listiani, 2021).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Hematomas can cause increased morbidity, where hematomas will prolong the patient's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bed rest period, and in general, patients will complain of leg aches and cramps, pain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thigh folds, and pain in the back of the waist (Manik, 2015). Hematoma occurs due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tearing after sheath removal and in the former puncture area that is not completely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closed (Abdelaal et al., 2015). Research conducted by (Cauley et al., 2019) states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hematomas have signs such as swelling, pain, or neurovascular symptoms. This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because there is an accumulation of blood outside the intravascular. This condition 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occur if the walls of arteries, veins, or capillaries are damaged so that blood exits into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tissue.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One of the nursing interventions used to reduce the incidence of hematomas is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the use of sand pillows and cold compresses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(Kurt &amp; Kaşıkçı, 2019; Syahri &amp; Andriani,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2021). Sand pillows can shorten the duration of compression and help achieve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hemostasis by applying pressure to the arteries to prevent hematomas (Manik, 2015).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While cold compresses are applied using cold packtaste, pain is inhibited at cold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temperatures by decreasing the speed of impulses transmitted by nerve fibers.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Vasoconstriction in arteries and veins is caused by the influence of temperature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stimulates smooth muscles in the lining of blood vessels. In addition, vasoconstriction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also lowers bleeding and swelling in injured tissue (Sari et al., 2017). </w:t>
      </w:r>
    </w:p>
    <w:p>
      <w:pPr>
        <w:autoSpaceDN w:val="0"/>
        <w:autoSpaceDE w:val="0"/>
        <w:widowControl/>
        <w:spacing w:line="245" w:lineRule="auto" w:before="56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Considering the importance of reducing the incidence of hematomas in post-PCI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patients by intervention using sand pillows and cold compresses, researchers are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therefore interested in conducting a literature review related to the comparison of the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application of sand pillows and cold compresses in reducing the incidence of hematomas </w:t>
      </w:r>
      <w:r>
        <w:rPr>
          <w:rFonts w:ascii="Calibri" w:hAnsi="Calibri" w:eastAsia="Calibri"/>
          <w:b w:val="0"/>
          <w:i w:val="0"/>
          <w:color w:val="171615"/>
          <w:sz w:val="24"/>
        </w:rPr>
        <w:t>in post-PCI patients.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RESEARCH METHODS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research method used in this scoping review is a scoping review approach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regarding the Arskey and O'Malley framework. The stages in the preparation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scoping review include identifying research questions, identifying relevant literature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sources, selecting literature, mapping and collecting literature, compiling, summarizing,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reporting the results of literature analysis, as well as consultation with competent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parties. Literature searches are conducted through Google Scholar, ScienceDirect, and </w:t>
      </w:r>
    </w:p>
    <w:p>
      <w:pPr>
        <w:autoSpaceDN w:val="0"/>
        <w:tabs>
          <w:tab w:pos="8402" w:val="left"/>
        </w:tabs>
        <w:autoSpaceDE w:val="0"/>
        <w:widowControl/>
        <w:spacing w:line="197" w:lineRule="auto" w:before="56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300</w:t>
      </w:r>
    </w:p>
    <w:p>
      <w:pPr>
        <w:sectPr>
          <w:pgSz w:w="11906" w:h="16838"/>
          <w:pgMar w:top="378" w:right="144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Qomaruddin Asy’ary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Titin Andri Wihastuti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Dina Dewi Sartika Lestari Ismail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5" w:lineRule="auto" w:before="754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Proquest databases using advanced search and certain keywords such as "sandbag,"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"cold pack," "hematoma," and "percutaneous coronary intervention," with restrictions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2019-2024.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Inclusion criteria in this review include articles in Indonesian and English, original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papers or review literature, and full text. In contrast, exclusion criteria include books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modules, theses, theses, dissertations, scientific papers, articles that are issues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debate, letter editors, protocols, prereviews, and paid/inaccessible/non-full text articles.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Articles that meet the inclusion criteria are then identified, filtered, extracted,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displayed in a table containing information about the title, author, year of publication,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country of research location, research objectives, research design, and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conclusions. The data extraction results are then analyzed and elaborated in more detail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discussion.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research process involves screening articles based on title, abstract, year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publication, and age after removing duplicates, as well as assessing the eligibility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articles based on inclusion and exclusion criteria. The entire study was consulted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other authors for validation. The data were then mapped into tables to summarize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narrative findings of the results of this exploratory review, including study characteristics,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hematoma incidence, hematoma risk factors, and the application of cold compresses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reduce hematomas. Information on the effect of the successful application of cold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compresses is taken from the discussion and presented in table format in Microsoft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Word 2016.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AND DISCUSSIONS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Characteristics of the selected studies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After a literature search according to the inclusion and exclusion criteria,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One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article with experimental research design methods, a randomized posttest-only Control </w:t>
      </w:r>
      <w:r>
        <w:rPr>
          <w:rFonts w:ascii="Calibri" w:hAnsi="Calibri" w:eastAsia="Calibri"/>
          <w:b w:val="0"/>
          <w:i w:val="0"/>
          <w:color w:val="171615"/>
          <w:sz w:val="24"/>
        </w:rPr>
        <w:t>Groupon article with Design Experiment Methods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control group, and four articles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methods Randomized Control (RCT). Based on the 6 articles found, </w:t>
      </w:r>
      <w:r>
        <w:rPr>
          <w:rFonts w:ascii="Calibri" w:hAnsi="Calibri" w:eastAsia="Calibri"/>
          <w:b w:val="0"/>
          <w:i/>
          <w:color w:val="000000"/>
          <w:sz w:val="24"/>
        </w:rPr>
        <w:t>Scoping Review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indicates that the application of a cold compress or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cold pack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post-PCI patients is more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 in reducing the incidence of hematomas compared to the use of sand pillows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((Ebrahimi-Shalmani et al., 2020);(Kareem &amp; Al-Kassar, 2023);(Korkmaz1a &amp; Karagözoğlu,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2022);(Korkmaz1a &amp; Karagözoğlu, 2022);(Valikhani et al., 2020);(Syahri &amp; Andriani,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2021)).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Percutaneous Coronary Intervention (PCI)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Percutaneous Coronary Intervention (PCI) is a non-surgical invasive procedure or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procedure performed on patients with coronary heart disease to open occlusion or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narrow the coronary arteries and increase blood supply to the systemic (Ahmad et al.,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2020). PCI is done by dilating narrowed arteries and patenting them by installing stents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to keep them open (Nuraeni et al., 2023). PCI is the primary treatment in patients with </w:t>
      </w:r>
      <w:r>
        <w:rPr>
          <w:rFonts w:ascii="Calibri" w:hAnsi="Calibri" w:eastAsia="Calibri"/>
          <w:b w:val="0"/>
          <w:i w:val="0"/>
          <w:color w:val="171615"/>
          <w:sz w:val="24"/>
        </w:rPr>
        <w:t>ST-elevation myocardial infarction (STEMI) (Mole et al</w:t>
      </w:r>
      <w:r>
        <w:rPr>
          <w:rFonts w:ascii="Calibri" w:hAnsi="Calibri" w:eastAsia="Calibri"/>
          <w:b w:val="0"/>
          <w:i/>
          <w:color w:val="171615"/>
          <w:sz w:val="24"/>
        </w:rPr>
        <w:t>.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, 2016). PCI procedure has several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vascular complications that can occur, such as infection, arterial fistula, retroperitoneal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hemorrhage, pseudoaneurysm, and hematoma (Khoiriyati et al., 2013).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171615"/>
          <w:sz w:val="24"/>
        </w:rPr>
        <w:t xml:space="preserve">Hematoma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Hematoma is a vascular complication often occurring after PCI (Abdelaal et al., </w:t>
      </w:r>
      <w:r>
        <w:rPr>
          <w:rFonts w:ascii="Calibri" w:hAnsi="Calibri" w:eastAsia="Calibri"/>
          <w:b w:val="0"/>
          <w:i w:val="0"/>
          <w:color w:val="171615"/>
          <w:sz w:val="24"/>
        </w:rPr>
        <w:t>2015). Research conducted by (Cauley et al.,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2019) states that the hematoma has signs </w:t>
      </w:r>
    </w:p>
    <w:p>
      <w:pPr>
        <w:autoSpaceDN w:val="0"/>
        <w:tabs>
          <w:tab w:pos="8402" w:val="left"/>
        </w:tabs>
        <w:autoSpaceDE w:val="0"/>
        <w:widowControl/>
        <w:spacing w:line="197" w:lineRule="auto" w:before="72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301 </w:t>
      </w:r>
    </w:p>
    <w:p>
      <w:pPr>
        <w:sectPr>
          <w:pgSz w:w="11906" w:h="16838"/>
          <w:pgMar w:top="368" w:right="144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20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Comparison Of Sand Pillows And Cold Compresses In Reducing The Incidence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Hematoma In Post Percutaneous Coronary Intervention (PCI) Patients: A Scoping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Review </w:t>
      </w:r>
    </w:p>
    <w:p>
      <w:pPr>
        <w:autoSpaceDN w:val="0"/>
        <w:autoSpaceDE w:val="0"/>
        <w:widowControl/>
        <w:spacing w:line="245" w:lineRule="auto" w:before="332" w:after="0"/>
        <w:ind w:left="262" w:right="204" w:firstLine="0"/>
        <w:jc w:val="both"/>
      </w:pP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such as swelling, pain, or neurovascular symptoms. This is due to the accumulation of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blood outside the intravascular. This condition can occur when the walls of arteries,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veins, or capillaries are damaged so that blood exits into the tissues. Some studies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reported minor bleeding due to catheter removal in the femoral artery area (Kurt &amp;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Kaşıkçı, 2019). Previous studies have also suggested that post-PCI bleeding and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hematoma complications can increase the length of stay and increase the cost of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hospitalization (Numasawa et al., 2017). Decreased capillary permeability and increased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blood clotting and metabolic needs cause bleeding to be controlled and prevent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hematomas (Kurt &amp; Kaşıkçı, 2019).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Discussion </w:t>
      </w:r>
      <w:r>
        <w:br/>
      </w:r>
      <w:r>
        <w:rPr>
          <w:rFonts w:ascii="Calibri" w:hAnsi="Calibri" w:eastAsia="Calibri"/>
          <w:b/>
          <w:i w:val="0"/>
          <w:color w:val="171615"/>
          <w:sz w:val="24"/>
        </w:rPr>
        <w:t xml:space="preserve">Application of sand pillows and cold compresses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Effective non-pharmacological interventions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post-PCI patients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To reduce the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occurrence of hematomas, cold compresses are applied. The intervention aims to make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the patient feel comfortable, and pain can be minimized (Baidhowy et al., 2021). In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addition, using sand pillows is also an intervention that can reduce the occurrence of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hematomas (Syahri &amp; Andriani, 2021). (Swami et al., 2024) conducted a randomized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controlled trial on 50 patients to identify the optimal method of lowering hematomas.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One group was treated with a sand pillow weighing 2 kg, while the other group used a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cold compress with an Ice pack weighing 365 grams to achieve hemostasis in the femoral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area after removing the sheath. The sand pillow group was the control while the ice pack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group was the intervention group. Hematomas occurred in both groups at 30-minute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intervals over 3-hour intervals. The results stated a significant difference in the rate of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hematoma reduction between the two groups. Namely, hematoma decreased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significantly in the intervention group with cold compresses using ice packs compared to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the sand pillows group (Valikhani et al., 2020). </w:t>
      </w:r>
    </w:p>
    <w:p>
      <w:pPr>
        <w:autoSpaceDN w:val="0"/>
        <w:autoSpaceDE w:val="0"/>
        <w:widowControl/>
        <w:spacing w:line="245" w:lineRule="auto" w:before="54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Several other studies have also compared the use of sand pillows with the use of </w:t>
      </w:r>
      <w:r>
        <w:rPr>
          <w:rFonts w:ascii="Calibri" w:hAnsi="Calibri" w:eastAsia="Calibri"/>
          <w:b w:val="0"/>
          <w:i w:val="0"/>
          <w:color w:val="171615"/>
          <w:sz w:val="24"/>
        </w:rPr>
        <w:t>cold packs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(Kurt &amp; Kaşıkçı, 2019; Pamuk &amp; Özkaraman, 2024; Syahri &amp; Andriani, 2021).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Literature studies conducted by Baidhowy </w:t>
      </w:r>
      <w:r>
        <w:rPr>
          <w:rFonts w:ascii="Calibri" w:hAnsi="Calibri" w:eastAsia="Calibri"/>
          <w:b w:val="0"/>
          <w:i/>
          <w:color w:val="171615"/>
          <w:sz w:val="24"/>
        </w:rPr>
        <w:t>et al.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 (2021) explained that using sand pillows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is a less effective intervention. Sand pillows are placed on the patient's upper femoral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area in bed for long periods,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causing the patient to be disturbed and in pain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(Korkmaz1a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&amp; Karagözoğlu, 2022). Another study also found that the group using sand pillows had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hematomas by 18% and bleeding by 8% (Çürük, 2017). However, research (Sari et al., </w:t>
      </w:r>
      <w:r>
        <w:rPr>
          <w:rFonts w:ascii="Calibri" w:hAnsi="Calibri" w:eastAsia="Calibri"/>
          <w:b w:val="0"/>
          <w:i w:val="0"/>
          <w:color w:val="171615"/>
          <w:sz w:val="24"/>
        </w:rPr>
        <w:t>2017) stated no significant difference in hematoma development within 24 hours in post-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PCI patients who used sand pillows or cold compresses. However, using sand pillows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causes tingling, pain, and difficulty moving in the access area after sheath removal.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Although statistically not statistically significantly associated with hematomas, the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application of cold compresses found lower hematomas than other groups (Korkmaz1a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&amp; Karagözoğlu, 2022). This happens because the application of cold compresses a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decrease in blood flow, increased coagulation, increased viscosity, and decreased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metabolic density so that bleeding can be controlled in accordance with the research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(Ginanjar et al., 2018), where experiments with the application of cold compresses and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early ambulation with a control group using sand pillows and the results showed that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the application of cold compresses with early ambulation was more effective than sand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pillows in reducing the incidence of hematomas. </w:t>
      </w:r>
    </w:p>
    <w:p>
      <w:pPr>
        <w:autoSpaceDN w:val="0"/>
        <w:tabs>
          <w:tab w:pos="8402" w:val="left"/>
        </w:tabs>
        <w:autoSpaceDE w:val="0"/>
        <w:widowControl/>
        <w:spacing w:line="197" w:lineRule="auto" w:before="85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302</w:t>
      </w:r>
    </w:p>
    <w:p>
      <w:pPr>
        <w:sectPr>
          <w:pgSz w:w="11906" w:h="16838"/>
          <w:pgMar w:top="378" w:right="144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Qomaruddin Asy’ary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Titin Andri Wihastuti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Dina Dewi Sartika Lestari Ismail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5" w:lineRule="auto" w:before="7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Several studies have shown that the application of cold compresses is effective in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reducing hematomas in post-PCI patients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((Ebrahimi-Shalmani et al., 2020);(Kareem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Al-Kassar, 2023);(Valikhani et al., 2020);(Syahri &amp; Andriani, 2021)). In addition, cold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compresses also have the effect of vasoconstricting blood vessels, accelerating blood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clotting time, and blood clot formation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(Senan et al., 2020). Cold compresses are a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nonpharmacological method that enhances the coagulation process by causing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vasoconstriction, which leads to decreased blood flow and increased blood viscosity.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Thus, increased coagulation and decreased capillary permeability, as well as metabolic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needs, facilitate the control of bleeding at the site of trauma. Therefore, the application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of cold compresses for femoral sheath removal in post-PCI patients can reduce the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occurrence of hematomas, hemorrhages, and ecchymoses (Baidhowy et al., 2021;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Kareem &amp; Al-Kassar, 2023). In addition, cold compresses also have an effect on the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nerves, which decreases the release of local pain mediators and slows peripheral nerve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conduction (Ginanjar et al., 2018).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According to (Kurt &amp; Kaşıkçı, 2019), the application of cold compresses reduces the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formation of hematomas in the femoral artery area after catheter withdrawal, and the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size of the growing hematoma is small. The low grade and small size of hematomas in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the experimental group are considered to be the result of the application of cold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compresses. One of the physiological effects is to reduce the speed of blood flow and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increase its viscosity. In line with (Kareem &amp; Al-Kassar, 2023), Yang explains that cold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compress therapy has long been used as a noninvasive method to control bleeding. The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physiological effects of cold compress therapy include arterial contractions, which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ultimately result in decreased peripheral blood circulation, histamine release,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inflammation, muscle spasms, and successive nerve conduction speeds. Slows blood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flow by increasing the viscosity of blood flow to an invasively administered bleeding site;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ice packs (cold packs) can also facilitate better achievement of hemostasis and fewer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vascular complications such as hematomas.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conducted (Pamuk &amp; Özkaraman, 2024) It is also stated that the use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cold compresses, along with sand pillows, is also effective in preventing perivascular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complications. Cold compresses control bleeding by reducing capillary blood flow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capillary permeability through arteriole vasoconstriction. In addition, it reduces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blood flow rate and increases viscosity, thereby providing coagulation. Cold compresses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reduce the development of ecchymosis and hematomas.  In addition, cold compresses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are preferred to prevent and treat vascular complications because they are more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practical and inexpensive, can increase patient comfort, reduce pain, and significantly </w:t>
      </w:r>
      <w:r>
        <w:rPr>
          <w:rFonts w:ascii="Calibri" w:hAnsi="Calibri" w:eastAsia="Calibri"/>
          <w:b w:val="0"/>
          <w:i w:val="0"/>
          <w:color w:val="000000"/>
          <w:sz w:val="24"/>
        </w:rPr>
        <w:t>reduce hematomas in the intervention area.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171615"/>
          <w:sz w:val="24"/>
        </w:rPr>
        <w:t xml:space="preserve">The Role of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Nurses in Hematoma Management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Seeing a positive impact on the use of cold compresses in post-PCI patients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compared to the use of sand pillows that can cause pain in patients. Where pain can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negatively affect the healing process by causing anxiety and fatigue in patients, so the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use of cold compresses becomes a more effective method in reducing the occurrence of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hematomas. Therefore, nurses have an important role in preventing hematomas, and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the key is early recognition and prevention of complications (Kurt &amp; Kaşıkçı, 2019;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Nuraeni et al., 2023). Controlling vascular complications such as hematomas can reduce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the length of hospitalization and medical costs of patients. Prevention of complications </w:t>
      </w:r>
    </w:p>
    <w:p>
      <w:pPr>
        <w:autoSpaceDN w:val="0"/>
        <w:tabs>
          <w:tab w:pos="8402" w:val="left"/>
        </w:tabs>
        <w:autoSpaceDE w:val="0"/>
        <w:widowControl/>
        <w:spacing w:line="197" w:lineRule="auto" w:before="72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303 </w:t>
      </w:r>
    </w:p>
    <w:p>
      <w:pPr>
        <w:sectPr>
          <w:pgSz w:w="11906" w:h="16838"/>
          <w:pgMar w:top="368" w:right="144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20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Comparison Of Sand Pillows And Cold Compresses In Reducing The Incidence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Hematoma In Post Percutaneous Coronary Intervention (PCI) Patients: A Scoping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Review </w:t>
      </w:r>
    </w:p>
    <w:p>
      <w:pPr>
        <w:autoSpaceDN w:val="0"/>
        <w:autoSpaceDE w:val="0"/>
        <w:widowControl/>
        <w:spacing w:line="245" w:lineRule="auto" w:before="332" w:after="0"/>
        <w:ind w:left="262" w:right="210" w:firstLine="0"/>
        <w:jc w:val="both"/>
      </w:pP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is also important to provide collaboration and adherence to the process, thus speeding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up the recovery process. This can increase the level of patient satisfaction and the quality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of nursing services better (Çürük, 2017).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171615"/>
          <w:sz w:val="24"/>
        </w:rPr>
        <w:t xml:space="preserve">CONCLUSION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 results of the scoping review, it can be recommended that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application of cold compresses is more effective in reducing the incidence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hematomas, so it can be an option for performing mechanical suppression to prevent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bleeding in post-PCI patients.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While the scoping review suggests the superiority of cold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compresses in reducing hematoma incidence post-PCI, certain confounding factors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warrant further investigation. The recommendation lacks granularity concerning these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confounders, emphasizing the necessity for more comprehensive research. Additionally,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a more exhaustive summary of the evidence supporting the recommendation is required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to bolster its validity. Nonetheless, nurses play a pivotal role in preventing vascular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complications post-cardiac catheterization, facilitating patient collaboration and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adherence to recovery processes, and ultimately enhancing patient satisfaction with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nursing services. Future research endeavors should meticulously address these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confounders to provide new insights and optimize the quality of nursing care in post-PCI </w:t>
      </w:r>
      <w:r>
        <w:rPr>
          <w:rFonts w:ascii="Calibri" w:hAnsi="Calibri" w:eastAsia="Calibri"/>
          <w:b w:val="0"/>
          <w:i w:val="0"/>
          <w:color w:val="171615"/>
          <w:sz w:val="24"/>
        </w:rPr>
        <w:t xml:space="preserve">patients. </w:t>
      </w:r>
    </w:p>
    <w:p>
      <w:pPr>
        <w:autoSpaceDN w:val="0"/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171615"/>
          <w:sz w:val="24"/>
        </w:rPr>
        <w:t xml:space="preserve">REFERENCES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Abdelaal, E., Rimac, G., Plourde, G., Machaalany, J., Roy, L., Tardif, M. A., … Bertrand, O. </w:t>
      </w:r>
    </w:p>
    <w:p>
      <w:pPr>
        <w:autoSpaceDN w:val="0"/>
        <w:autoSpaceDE w:val="0"/>
        <w:widowControl/>
        <w:spacing w:line="245" w:lineRule="auto" w:before="52" w:after="26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F. (2015). 4Fr in 5Fr sheathless technique with standard catheters for transradial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coronary interventions: Technical challenges and persisting issues.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Catheterization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9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and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Cardiovascular 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Interventions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85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(5),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809–815.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6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https://doi.org/10.1002/ccd.25709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Ahmad, M., Mehta, P., &amp; Akr, R. (2020). Percutaneous Coronary Intervention. In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StatPearls Publishing, Treasure Island (FL)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54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Baidhowy, A. S., Antartika, G. Y., Sungkono, R, A. B., &amp; Listiani. (2021). Tinjauan Literatur: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Penerapan Kompres Dingin Untuk Mengurangi Nyeri dan Hematoma Pada Pasien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Post Percutaneus Coronary Intervention (PCI). </w:t>
      </w:r>
      <w:r>
        <w:rPr>
          <w:rFonts w:ascii="Calibri" w:hAnsi="Calibri" w:eastAsia="Calibri"/>
          <w:b w:val="0"/>
          <w:i/>
          <w:color w:val="000000"/>
          <w:sz w:val="24"/>
        </w:rPr>
        <w:t>Jurnal Perawat Indonesia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</w:t>
      </w:r>
      <w:r>
        <w:rPr>
          <w:rFonts w:ascii="Calibri" w:hAnsi="Calibri" w:eastAsia="Calibri"/>
          <w:b w:val="0"/>
          <w:i w:val="0"/>
          <w:color w:val="000000"/>
          <w:sz w:val="24"/>
        </w:rPr>
        <w:t>(3), 784–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793. </w:t>
      </w:r>
    </w:p>
    <w:p>
      <w:pPr>
        <w:autoSpaceDN w:val="0"/>
        <w:autoSpaceDE w:val="0"/>
        <w:widowControl/>
        <w:spacing w:line="245" w:lineRule="auto" w:before="56" w:after="26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Cauley, R., Wu, W. W., Doval, A., Chaikof, E., Ho, K. K. L., &amp; Iorio, M. L. (2019). Identifying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Complications and Optimizing Consultations following Transradial Arterial Access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rPr>
          <w:trHeight w:hRule="exact" w:val="29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1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for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Cardiac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Procedures.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Annals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of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Vascular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Surgery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56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87–96.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6" w:after="26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https://doi.org/10.1016/j.avsg.2018.07.064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Cheema, F. M., Cheema, H. M., &amp; Akram, Z. (2020). Identification of risk factors of acute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coronary syndrome in young patients between 18-40 years of age at a teaching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29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hospital.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Pakistan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Journal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of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Medical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Sciences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36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(4),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821–824.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6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https://doi.org/10.12669/pjms.36.4.2302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Çürük, G. N. (2017). The Effect of Ice-Bag Applied to Femoral Region of Individuals with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Percutaneous Coronary Intervention on Local Vascular Complications and Low Back-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Pain. </w:t>
      </w:r>
      <w:r>
        <w:rPr>
          <w:rFonts w:ascii="Calibri" w:hAnsi="Calibri" w:eastAsia="Calibri"/>
          <w:b w:val="0"/>
          <w:i/>
          <w:color w:val="000000"/>
          <w:sz w:val="24"/>
        </w:rPr>
        <w:t>IOSR Journal of Nursing and Health Science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06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(01), 136–144.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https://doi.org/10.9790/1959-060105136144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Ebrahimi-Shalmani, F., Hasavari, F., Nikfarjam, S., Leili, E. K., &amp; Javadi-Pashaki, N. (2020). </w:t>
      </w:r>
    </w:p>
    <w:p>
      <w:pPr>
        <w:autoSpaceDN w:val="0"/>
        <w:tabs>
          <w:tab w:pos="8402" w:val="left"/>
        </w:tabs>
        <w:autoSpaceDE w:val="0"/>
        <w:widowControl/>
        <w:spacing w:line="197" w:lineRule="auto" w:before="56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5, May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304</w:t>
      </w:r>
    </w:p>
    <w:p>
      <w:pPr>
        <w:sectPr>
          <w:pgSz w:w="11906" w:h="16838"/>
          <w:pgMar w:top="378" w:right="144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Qomaruddin Asy’ary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Titin Andri Wihastuti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Dina Dewi Sartika Lestari Ismail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5" w:lineRule="auto" w:before="754" w:after="26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effect of the local cold application on low back pain and vascular complications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patients undergoing coronary angiography.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Journal of Research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256"/>
        <w:gridCol w:w="2256"/>
        <w:gridCol w:w="2256"/>
        <w:gridCol w:w="2256"/>
      </w:tblGrid>
      <w:tr>
        <w:trPr>
          <w:trHeight w:hRule="exact" w:val="294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38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Pharmaceutical 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Sciences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11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(4),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1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7754–7762.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6" w:after="28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https://doi.org/10.26452/ijrps.v11i4.4220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Ginanjar, R., Hadisaputro, S., Mardiyono, M., &amp; Sudirman, S. (2018). Effectiveness of Cold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Pack With Early Ambulation in Preventing Complications of Haemorrhage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Haematoma in Patients Post Cardiac Catheterization. </w:t>
      </w:r>
      <w:r>
        <w:rPr>
          <w:rFonts w:ascii="Calibri" w:hAnsi="Calibri" w:eastAsia="Calibri"/>
          <w:b w:val="0"/>
          <w:i/>
          <w:color w:val="000000"/>
          <w:sz w:val="24"/>
        </w:rPr>
        <w:t>Belitung Nursing Journal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83–88. https://doi.org/10.33546/bnj.352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Kareem, H. M., &amp; Al-Kassar, R. A. H. (2023). Effect of Direct Cold Compress for Femoral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Arterial Sheath Removal on Reduction of Local Vascular Complications in Patients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after Percutaneous Coronary Intervention: A Randomized Controlled Trial.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Kufa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29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Journal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for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Nursing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Sciences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13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(2),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1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99–110.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6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https://doi.org/10.36321/kjns.vi20232.12477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Khoiriyati, A., Ropi, H., &amp; Kosasih, C. E. (2013). Kejadian Komplikasi Vaskuler Pasien Pasca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Intervensi Koroner Perkutan di RSUP Dr . Hasan Sadikin Bandung. </w:t>
      </w:r>
      <w:r>
        <w:rPr>
          <w:rFonts w:ascii="Calibri" w:hAnsi="Calibri" w:eastAsia="Calibri"/>
          <w:b w:val="0"/>
          <w:i/>
          <w:color w:val="000000"/>
          <w:sz w:val="24"/>
        </w:rPr>
        <w:t>Jurnal Kesehatan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196–203. </w:t>
      </w:r>
    </w:p>
    <w:p>
      <w:pPr>
        <w:autoSpaceDN w:val="0"/>
        <w:autoSpaceDE w:val="0"/>
        <w:widowControl/>
        <w:spacing w:line="245" w:lineRule="auto" w:before="54" w:after="0"/>
        <w:ind w:left="742" w:right="210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Korkmaz1a, E., &amp; Karagözoğlu, Ş. (2022).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Comparison of Sandbag, Close Pad, and Cold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Application Combined with Sandbag in Preventing Peripheral Vascular </w:t>
      </w:r>
      <w:r>
        <w:rPr>
          <w:rFonts w:ascii="Calibri" w:hAnsi="Calibri" w:eastAsia="Calibri"/>
          <w:b w:val="0"/>
          <w:i/>
          <w:color w:val="000000"/>
          <w:sz w:val="24"/>
        </w:rPr>
        <w:t>Complications After Cardiac Catheterisation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  <w:r>
        <w:rPr>
          <w:rFonts w:ascii="Calibri" w:hAnsi="Calibri" w:eastAsia="Calibri"/>
          <w:b w:val="0"/>
          <w:i/>
          <w:color w:val="000000"/>
          <w:sz w:val="24"/>
        </w:rPr>
        <w:t>44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(March), 1–8. </w:t>
      </w:r>
    </w:p>
    <w:p>
      <w:pPr>
        <w:autoSpaceDN w:val="0"/>
        <w:autoSpaceDE w:val="0"/>
        <w:widowControl/>
        <w:spacing w:line="245" w:lineRule="auto" w:before="52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Kurt, Y., &amp; Kaşıkçı, M. (2019). The effect of the application of cold on hematoma,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ecchymosis, and pain at the catheter site in patients undergoing percutaneous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coronary intervention. </w:t>
      </w:r>
      <w:r>
        <w:rPr>
          <w:rFonts w:ascii="Calibri" w:hAnsi="Calibri" w:eastAsia="Calibri"/>
          <w:b w:val="0"/>
          <w:i/>
          <w:color w:val="000000"/>
          <w:sz w:val="24"/>
        </w:rPr>
        <w:t>International Journal of Nursing Sciences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378–384.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https://doi.org/10.1016/j.ijnss.2019.09.005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Manik, J. M. (2015). Perbedaan Bantal Pasir dan Cold Pack Gel dalam Mencegah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Komplikasi Paska Kateterisasi Jantung. </w:t>
      </w:r>
      <w:r>
        <w:rPr>
          <w:rFonts w:ascii="Calibri" w:hAnsi="Calibri" w:eastAsia="Calibri"/>
          <w:b w:val="0"/>
          <w:i/>
          <w:color w:val="000000"/>
          <w:sz w:val="24"/>
        </w:rPr>
        <w:t>The Soedirman Journal of Nursing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105–113. </w:t>
      </w:r>
    </w:p>
    <w:p>
      <w:pPr>
        <w:autoSpaceDN w:val="0"/>
        <w:autoSpaceDE w:val="0"/>
        <w:widowControl/>
        <w:spacing w:line="245" w:lineRule="auto" w:before="52" w:after="26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Mol, K. A., Rahel, B. M., Meeder, J. G., van Casteren, B. C. A. M., Doevendans, P. A.,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Cramer, M. J. M. (2016). Delays in the treatment of patients with acute coronary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syndrome: Focus on pre-hospital delays and non-ST-elevated myocardial infarction.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29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38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International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Journal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of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Cardiology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221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2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1061–1066.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8" w:after="26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https://doi.org/10.1016/j.ijcard.2016.07.082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Muhibbah, M., Wahid, A., Agustina, R., &amp; Illiandri, O. (2019). Karakteristik Pasien Sindrom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Koroner Akut Pada Pasien Rawat Inap Ruang Tulip Di Rsud Ulin Banjarmasin.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9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382" w:right="0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Indonesian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Journal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for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Health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Sciences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(1),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8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https://doi.org/10.24269/ijhs.v3i1.1567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Numasawa, Y., Kohsaka, S., Ueda, I., &amp; Miyata, H. (2017). Incidence and predictors of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bleeding complications after percutaneous coronary intervention.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Journal of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Cardiology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69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272–279. https://doi.org/10.1016/j.jjcc.2016.05.003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Nuraeni, A., Arrafi, A. R., &amp; Rahmah, A. (2023). Potensi Kompres Dingin Terhadap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Pencegahan Hematoma Pada Pasien Pasca Percutaneous Coronary Intervention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(Pci): Scoping Review. </w:t>
      </w:r>
      <w:r>
        <w:rPr>
          <w:rFonts w:ascii="Calibri" w:hAnsi="Calibri" w:eastAsia="Calibri"/>
          <w:b w:val="0"/>
          <w:i/>
          <w:color w:val="000000"/>
          <w:sz w:val="24"/>
        </w:rPr>
        <w:t>MALAHAYATI NURSING JOURNAL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(7), 2185–2200. </w:t>
      </w:r>
    </w:p>
    <w:p>
      <w:pPr>
        <w:autoSpaceDN w:val="0"/>
        <w:autoSpaceDE w:val="0"/>
        <w:widowControl/>
        <w:spacing w:line="245" w:lineRule="auto" w:before="54" w:after="0"/>
        <w:ind w:left="742" w:right="206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Pamuk, G. D., &amp; Özkaraman, A. (2024). The Effect of Cold Sand Pack on Percutaneous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Coronary Intervention-Induced Vascular Complications and Pain: A Randomized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Controlled Trial. </w:t>
      </w:r>
      <w:r>
        <w:rPr>
          <w:rFonts w:ascii="Calibri" w:hAnsi="Calibri" w:eastAsia="Calibri"/>
          <w:b w:val="0"/>
          <w:i/>
          <w:color w:val="000000"/>
          <w:sz w:val="24"/>
        </w:rPr>
        <w:t>Florence Nightingale Journal of Nursing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58–67. </w:t>
      </w:r>
    </w:p>
    <w:p>
      <w:pPr>
        <w:autoSpaceDN w:val="0"/>
        <w:autoSpaceDE w:val="0"/>
        <w:widowControl/>
        <w:spacing w:line="197" w:lineRule="auto" w:before="52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https://doi.org/10.5152/fnjn.2024.23074 </w:t>
      </w:r>
    </w:p>
    <w:p>
      <w:pPr>
        <w:autoSpaceDN w:val="0"/>
        <w:tabs>
          <w:tab w:pos="8402" w:val="left"/>
        </w:tabs>
        <w:autoSpaceDE w:val="0"/>
        <w:widowControl/>
        <w:spacing w:line="197" w:lineRule="auto" w:before="72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305 </w:t>
      </w:r>
    </w:p>
    <w:p>
      <w:pPr>
        <w:sectPr>
          <w:pgSz w:w="11906" w:h="16838"/>
          <w:pgMar w:top="368" w:right="144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20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Comparison Of Sand Pillows And Cold Compresses In Reducing The Incidence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Hematoma In Post Percutaneous Coronary Intervention (PCI) Patients: A Scoping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Review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33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Sari, E. A., Arifin, M. Z., &amp; Fatimah, S. (2017). Perbandingan Hematoma Pasca Kateterisasi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Jantung Berdasarkan Penekanan Bantal Pasir dan Cold Pack.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Jurnal Pendidikan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Keperawatan Indonesia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100. https://doi.org/10.17509/jpki.v3i2.9414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Senan Mutlu, Ms., &amp; Emel Yılmaz, P. (2020). The Effect Of Soft Tissue Injury Cold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Application Duration On Symptoms, Edema, Joint Mobility, And Patient Satisfaction: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Randomized Controlled Trial. </w:t>
      </w:r>
      <w:r>
        <w:rPr>
          <w:rFonts w:ascii="Calibri" w:hAnsi="Calibri" w:eastAsia="Calibri"/>
          <w:b w:val="0"/>
          <w:i/>
          <w:color w:val="000000"/>
          <w:sz w:val="24"/>
        </w:rPr>
        <w:t>Journal of Emergency Nursing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449–459.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26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https://doi.org/10.1016/j.jen.2020.02.017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Swami, V., Voracek, M., Todd, J., Furnham, A., Horne, G., &amp; Tran, U. S. (2024). Positive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self-beliefs mediate the association between body appreciation and positive mental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9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3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health.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Body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Image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48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1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101685. 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245" w:lineRule="auto" w:before="26" w:after="0"/>
        <w:ind w:left="262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https://doi.org/https://doi.org/10.1016/j.bodyim.2024.101685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Syahri, A., &amp; Andriani, R. (2021). Perbandingan Penggunaan Bantal Pasir dan Cold Pack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Dalam Mencegah Komplikasi Hematoma Pada Pasien Pasca Cardiac Catheterization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 Cath Lab Program Studi Sarjana , STIKes Medika Seramoe Barat Komplikasi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Hematoma Pada Pasien Pasca Cardiac Catheterization d. </w:t>
      </w:r>
      <w:r>
        <w:rPr>
          <w:rFonts w:ascii="Calibri" w:hAnsi="Calibri" w:eastAsia="Calibri"/>
          <w:b w:val="0"/>
          <w:i/>
          <w:color w:val="000000"/>
          <w:sz w:val="24"/>
        </w:rPr>
        <w:t>Best Journal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4</w:t>
      </w:r>
      <w:r>
        <w:rPr>
          <w:rFonts w:ascii="Calibri" w:hAnsi="Calibri" w:eastAsia="Calibri"/>
          <w:b w:val="0"/>
          <w:i w:val="0"/>
          <w:color w:val="000000"/>
          <w:sz w:val="24"/>
        </w:rPr>
        <w:t>(2), 195–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Valikhani, M., Mahdizadeh, S. M., Eshraghi, A., Mazlum, S. R., &amp; Dehghani, J. (2020). The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 of Simultaneous Sand-Ice Bag Application on Hemorrhage and Hematoma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after Percutaneous Coronary Intervention: A Randomized Clinical Trial.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Journal of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Caring Sciences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188–194. https://doi.org/10.15171/jcvtr.2015.24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Wihastuti, T. A., Widasmara, D., Program, N. M., &amp; Program, M. (2020). Family Income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Health Insurance as Factors Related to Family Response to Acute Coronary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Syndrome Attack. </w:t>
      </w:r>
      <w:r>
        <w:rPr>
          <w:rFonts w:ascii="Calibri" w:hAnsi="Calibri" w:eastAsia="Calibri"/>
          <w:b w:val="0"/>
          <w:i/>
          <w:color w:val="000000"/>
          <w:sz w:val="24"/>
        </w:rPr>
        <w:t>International Journal of Science and Society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639–648. </w:t>
      </w:r>
    </w:p>
    <w:p>
      <w:pPr>
        <w:autoSpaceDN w:val="0"/>
        <w:autoSpaceDE w:val="0"/>
        <w:widowControl/>
        <w:spacing w:line="197" w:lineRule="auto" w:before="392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Copyright Holder: </w:t>
      </w:r>
    </w:p>
    <w:p>
      <w:pPr>
        <w:autoSpaceDN w:val="0"/>
        <w:autoSpaceDE w:val="0"/>
        <w:widowControl/>
        <w:spacing w:line="214" w:lineRule="auto" w:before="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>Qomaruddin Asy’ary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Titin Andri Wihastuti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Dina Dewi Sartika Lestari Ismail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>(2024)</w:t>
      </w:r>
    </w:p>
    <w:p>
      <w:pPr>
        <w:autoSpaceDN w:val="0"/>
        <w:autoSpaceDE w:val="0"/>
        <w:widowControl/>
        <w:spacing w:line="197" w:lineRule="auto" w:before="43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First Publication Right: </w:t>
      </w:r>
    </w:p>
    <w:p>
      <w:pPr>
        <w:autoSpaceDN w:val="0"/>
        <w:autoSpaceDE w:val="0"/>
        <w:widowControl/>
        <w:spacing w:line="197" w:lineRule="auto" w:before="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Journal of Health Science </w:t>
      </w:r>
    </w:p>
    <w:p>
      <w:pPr>
        <w:autoSpaceDN w:val="0"/>
        <w:autoSpaceDE w:val="0"/>
        <w:widowControl/>
        <w:spacing w:line="197" w:lineRule="auto" w:before="436" w:after="0"/>
        <w:ind w:left="0" w:right="29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autoSpaceDE w:val="0"/>
        <w:widowControl/>
        <w:spacing w:line="240" w:lineRule="auto" w:before="46" w:after="50"/>
        <w:ind w:left="0" w:right="38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38200" cy="2959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90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3"/>
        <w:gridCol w:w="4513"/>
      </w:tblGrid>
      <w:tr>
        <w:trPr>
          <w:trHeight w:hRule="exact" w:val="3730"/>
        </w:trPr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Jurnal Health Sains, Vol. 5, No. 5, May 2024 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78" w:right="1440" w:bottom="49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wihastuti.fk@ub.ac.id2" TargetMode="External"/><Relationship Id="rId11" Type="http://schemas.openxmlformats.org/officeDocument/2006/relationships/hyperlink" Target="mailto:dinasli@ub.ac.id3" TargetMode="Externa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