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2"/>
        <w:ind w:left="0" w:right="0"/>
      </w:pPr>
    </w:p>
    <w:p>
      <w:pPr>
        <w:sectPr>
          <w:pgSz w:w="12240" w:h="15840"/>
          <w:pgMar w:top="802" w:right="1440" w:bottom="508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18690" cy="53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802" w:right="1440" w:bottom="508" w:left="1440" w:header="720" w:footer="720" w:gutter="0"/>
          <w:cols w:num="2" w:equalWidth="0">
            <w:col w:w="4688" w:space="0"/>
            <w:col w:w="4672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346"/>
        <w:ind w:left="880" w:right="144" w:firstLine="84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Volume 5, No. 5 May, 2024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p ISSN 2723-6927-e ISSN 2723-4339 </w:t>
      </w:r>
    </w:p>
    <w:p>
      <w:pPr>
        <w:sectPr>
          <w:type w:val="nextColumn"/>
          <w:pgSz w:w="12240" w:h="15840"/>
          <w:pgMar w:top="802" w:right="1440" w:bottom="508" w:left="1440" w:header="720" w:footer="720" w:gutter="0"/>
          <w:cols w:num="2" w:equalWidth="0">
            <w:col w:w="4688" w:space="0"/>
            <w:col w:w="4672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Experience of Breastfeeding And Exclusive Breastfeeding For Women With Physical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Disabilities: Scoping Review </w:t>
      </w:r>
    </w:p>
    <w:p>
      <w:pPr>
        <w:autoSpaceDN w:val="0"/>
        <w:autoSpaceDE w:val="0"/>
        <w:widowControl/>
        <w:spacing w:line="245" w:lineRule="auto" w:before="326" w:after="0"/>
        <w:ind w:left="1296" w:right="129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>Ririn</w:t>
      </w:r>
      <w:r>
        <w:rPr>
          <w:rFonts w:ascii="Calibri" w:hAnsi="Calibri" w:eastAsia="Calibri"/>
          <w:b/>
          <w:i w:val="0"/>
          <w:color w:val="000000"/>
          <w:sz w:val="16"/>
        </w:rPr>
        <w:t>1</w:t>
      </w:r>
      <w:r>
        <w:rPr>
          <w:rFonts w:ascii="Calibri" w:hAnsi="Calibri" w:eastAsia="Calibri"/>
          <w:b/>
          <w:i w:val="0"/>
          <w:color w:val="000000"/>
          <w:sz w:val="24"/>
        </w:rPr>
        <w:t>, Mufdlilah</w:t>
      </w:r>
      <w:r>
        <w:rPr>
          <w:rFonts w:ascii="Calibri" w:hAnsi="Calibri" w:eastAsia="Calibri"/>
          <w:b/>
          <w:i w:val="0"/>
          <w:color w:val="000000"/>
          <w:sz w:val="16"/>
        </w:rPr>
        <w:t>2</w:t>
      </w:r>
      <w:r>
        <w:rPr>
          <w:rFonts w:ascii="Calibri" w:hAnsi="Calibri" w:eastAsia="Calibri"/>
          <w:b/>
          <w:i w:val="0"/>
          <w:color w:val="000000"/>
          <w:sz w:val="24"/>
        </w:rPr>
        <w:t>, Endang Koni Suryaningsih</w:t>
      </w:r>
      <w:r>
        <w:rPr>
          <w:rFonts w:ascii="Calibri" w:hAnsi="Calibri" w:eastAsia="Calibri"/>
          <w:b/>
          <w:i w:val="0"/>
          <w:color w:val="000000"/>
          <w:sz w:val="16"/>
        </w:rPr>
        <w:t xml:space="preserve">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t>1,2,3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'Aisyiyah University, Central Java, Indonesia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Email:</w:t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ririnsaputri9797@gmail.com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16"/>
        </w:rPr>
        <w:hyperlink r:id="rId10" w:history="1">
          <w:r>
            <w:rPr>
              <w:rStyle w:val="Hyperlink"/>
            </w:rPr>
            <w:t>1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>,</w:t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mufdlilah.stikes@gmail.com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16"/>
        </w:rPr>
        <w:hyperlink r:id="rId11" w:history="1">
          <w:r>
            <w:rPr>
              <w:rStyle w:val="Hyperlink"/>
            </w:rPr>
            <w:t>2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koni@unisayogya.ac.id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16"/>
        </w:rPr>
        <w:hyperlink r:id="rId12" w:history="1">
          <w:r>
            <w:rPr>
              <w:rStyle w:val="Hyperlink"/>
            </w:rPr>
            <w:t>3</w:t>
          </w:r>
        </w:hyperlink>
      </w:r>
    </w:p>
    <w:p>
      <w:pPr>
        <w:autoSpaceDN w:val="0"/>
        <w:autoSpaceDE w:val="0"/>
        <w:widowControl/>
        <w:spacing w:line="245" w:lineRule="auto" w:before="348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ABSTRACT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study aims to investigate the scientific evidence concerning breastfeeding and exclusive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breastfeeding experiences among women with physical disabilities. Exclusive breastfeeding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entails providing only breast milk to infants from birth to 6 months old, excluding any other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food or drinks except medications and vitamins. However, breastfeeding is not halted after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exclusive breastfeeding; it continues until the child is two years old. Utilising the scoping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review method, the research employed the Population, Concept, and Context (PCC)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framework. Six articles meeting the inclusion criteria were identified from a pool of 1,553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articles from PubMed, ScienceDirect, Wiley, and Research Rabbit databases. These articles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shed light on the challenges, experiences, barriers, and support systems related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breastfeeding and childcare encountered by women with physical disabilities.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research on breastfeeding experiences among women with physical disabilities reveals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both facilitators and barriers. Facilitators include adaptations, peer support, and necessary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equipment, while barriers encompass insufficient support, health considerations, and milk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production and latching challenges. These findings underscore the importance of tailored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support and access to information for women with physical disabilities who aim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breastfeed effectively. Implementing such support mechanisms can contribute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improving breastfeeding rates among this demographic, thus promoting the health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well-being of both mothers and infants while addressing societal attitudes toward disability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issues. </w:t>
      </w:r>
    </w:p>
    <w:p>
      <w:pPr>
        <w:autoSpaceDN w:val="0"/>
        <w:autoSpaceDE w:val="0"/>
        <w:widowControl/>
        <w:spacing w:line="197" w:lineRule="auto" w:before="346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Keywords: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Breastfeeding, Exclusive Breastfeeding, Women with Physical Disabilities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INTRODUCTION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Breast milk (ASI) is a source with a balanced composition for the baby's growth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development needs. Apart from that, breast milk is also the primary source of life, so it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sought that babies only drink breast milk without any other additions such as formula milk,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tea water, honey, and water and without complementary foods, often referred to 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exclusive breastfeeding (Habibah, 2022). Exclusive breastfeeding involves providing infants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only breast milk, excluding any other foods and drinks, except for medications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vitamins from birth up to 6 months old. However, this does not imply that breastfeeding </w:t>
      </w:r>
    </w:p>
    <w:p>
      <w:pPr>
        <w:autoSpaceDN w:val="0"/>
        <w:tabs>
          <w:tab w:pos="8688" w:val="left"/>
        </w:tabs>
        <w:autoSpaceDE w:val="0"/>
        <w:widowControl/>
        <w:spacing w:line="197" w:lineRule="auto" w:before="798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347 </w:t>
      </w:r>
    </w:p>
    <w:p>
      <w:pPr>
        <w:sectPr>
          <w:type w:val="continuous"/>
          <w:pgSz w:w="12240" w:h="15840"/>
          <w:pgMar w:top="802" w:right="144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6414" w:right="144" w:hanging="5408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Experience of Breastfeeding And Exclusive Breastfeeding For Women With Physical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Disabilities: Scoping Review </w:t>
      </w:r>
    </w:p>
    <w:p>
      <w:pPr>
        <w:autoSpaceDN w:val="0"/>
        <w:autoSpaceDE w:val="0"/>
        <w:widowControl/>
        <w:spacing w:line="245" w:lineRule="auto" w:before="430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ceases after the exclusive breastfeeding period; instead, it continues to be given to infants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until they reach two years of age (Roesli U, 2013). </w:t>
      </w:r>
    </w:p>
    <w:p>
      <w:pPr>
        <w:autoSpaceDN w:val="0"/>
        <w:autoSpaceDE w:val="0"/>
        <w:widowControl/>
        <w:spacing w:line="245" w:lineRule="auto" w:before="20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According to the World Health Organization (WHO), global exclusive breastfeeding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rates for infants aged 0-6 months stood at approximately 44% from 2015 to 2020 (Vaz 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al., 2021). This falls short of the global target of 50% coverage for exclusive breastfeeding.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Indonesia, the indicator for infants under six months receiving exclusive breastfeeding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reached 67.96%, meeting the national target 2022. Aceh had the lowest achievement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among Indonesian provinces, while DI Yogyakarta had the highest (Muliadi et al., 2023). </w:t>
      </w:r>
    </w:p>
    <w:p>
      <w:pPr>
        <w:autoSpaceDN w:val="0"/>
        <w:autoSpaceDE w:val="0"/>
        <w:widowControl/>
        <w:spacing w:line="245" w:lineRule="auto" w:before="38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Disability has changed according to the development of knowledge in society,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especially Indonesia, ranging from people with disabilities, people with disabilities, people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disabilities, someone with disabilities, someone with disabilities, and extraordinary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children to become a term for special needs and disabilities. Disability stands for Differently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abled people or people with different abilities, which appeared in 1998 (Aziz &amp; Safrudin,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2014). These different abilities can affect the activities of people with disabilities due to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shortcomings of the individual. Disability is the loss or limitation of individuals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participating in daily activities in society, not only due to physical or psychological disorders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but also due to social obstacles that contribute.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People with physical disabilities experience decreased mobility or endurance, which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affects the muscular, respiratory, or nervous systems and disturbances in activities. Physical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disabilities can consist of paraplegia, cerebral palsy (CP), and dwarfism. Paraplegia is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loss of ability in the lower limbs, such as the legs and hips. This is usually due to genetic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factors and the spinal cord (OT &amp; Das, n.d.). Cerebral palsy (CP), usually caused by brain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damage if it develops before or after birth, is a disorder that occurs in the nerve networks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brain that control movement, learning speed, feelings, and thinking abilities (Patel 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al., 2020). Dwarfism is when a person experiences abnormal bone growth caused by genetic </w:t>
      </w:r>
      <w:r>
        <w:rPr>
          <w:rFonts w:ascii="Calibri" w:hAnsi="Calibri" w:eastAsia="Calibri"/>
          <w:b w:val="0"/>
          <w:i w:val="0"/>
          <w:color w:val="000000"/>
          <w:sz w:val="24"/>
        </w:rPr>
        <w:t>or medical factors.  People with disabilities are also called people with disabilities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Convention on the Rights of Persons with Disabilities) (Pritchard, 2020). </w:t>
      </w:r>
    </w:p>
    <w:p>
      <w:pPr>
        <w:autoSpaceDN w:val="0"/>
        <w:autoSpaceDE w:val="0"/>
        <w:widowControl/>
        <w:spacing w:line="245" w:lineRule="auto" w:before="54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People with disabilities constitute the largest minority group in the world. More than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one billion people, or equivalent to 15% of the world's population, live with some form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disability, of which 190 million (3.8%) are aged 15 years and over, and the prevalence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disability is higher in developing countries (Organization, 2020). Data from the Central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Statistics Agency (BPS) as of August 2021 recorded that the proportion of women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disabilities in Indonesia of working age was more significant (9.32 million or 55%) than men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working age (7.62 million or 45%). Of this figure, only 7.04 million people with disabilities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work, and the rest are openly unemployed. There are fewer women with disabilities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entering the workforce, 3.1 million people or 42.7%, while men are 57.3% or around 4.29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million people. </w:t>
      </w:r>
    </w:p>
    <w:p>
      <w:pPr>
        <w:autoSpaceDN w:val="0"/>
        <w:autoSpaceDE w:val="0"/>
        <w:widowControl/>
        <w:spacing w:line="245" w:lineRule="auto" w:before="3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the results of the study (Acheampong et al., 2020), In Ghana, mothers facing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physical limitations perceive breastfeeding as challenging and costly due to issues such 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sleep disorders, limb dysfunction, and the necessity for breastfeeding mothers to maintain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balanced and nutritious diet. Participants expressed experiencing prejudice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discrimination in various aspects of their daily lives. The challenges encountered by mothers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physical disabilities highlight the need for a shift in societal attitudes toward disability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issues in Ghana. </w:t>
      </w:r>
    </w:p>
    <w:p>
      <w:pPr>
        <w:autoSpaceDN w:val="0"/>
        <w:tabs>
          <w:tab w:pos="8688" w:val="left"/>
        </w:tabs>
        <w:autoSpaceDE w:val="0"/>
        <w:widowControl/>
        <w:spacing w:line="197" w:lineRule="auto" w:before="380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348</w:t>
      </w:r>
    </w:p>
    <w:p>
      <w:pPr>
        <w:sectPr>
          <w:pgSz w:w="12240" w:h="15840"/>
          <w:pgMar w:top="384" w:right="144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14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Ririn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 Mufdlilah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Endang Koni Suryaningsih</w:t>
      </w:r>
      <w:r>
        <w:rPr>
          <w:rFonts w:ascii="Calibri" w:hAnsi="Calibri" w:eastAsia="Calibri"/>
          <w:b w:val="0"/>
          <w:i w:val="0"/>
          <w:color w:val="000000"/>
          <w:sz w:val="16"/>
        </w:rPr>
        <w:t>3</w:t>
      </w:r>
    </w:p>
    <w:p>
      <w:pPr>
        <w:autoSpaceDN w:val="0"/>
        <w:autoSpaceDE w:val="0"/>
        <w:widowControl/>
        <w:spacing w:line="245" w:lineRule="auto" w:before="722" w:after="0"/>
        <w:ind w:left="262" w:right="21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study by Powell (Powell et al., 2018) on breastfeeding among women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physical disabilities in the United States identified four key facilitators and five common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barriers to breastfeeding. Facilitators included adaptations and necessary equipment,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utilisation of breast pumps, receiving physical assistance from others, and peer support.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Conversely, barriers encompassed insufficient support, health considerations related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disabilities, limited access to information, challenges in milk production, and difficulties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latching. These findings underscore the necessity for enhanced support and access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information for women with physical disabilities who aspire to breastfeed effectively. </w:t>
      </w:r>
    </w:p>
    <w:p>
      <w:pPr>
        <w:autoSpaceDN w:val="0"/>
        <w:autoSpaceDE w:val="0"/>
        <w:widowControl/>
        <w:spacing w:line="245" w:lineRule="auto" w:before="20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According to the study by (Andrews et al., 2020) on breastfeeding experiences among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disabled women, four key themes emerged. These included challenges in communication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lactation consultants, issues concerning milk supply and attachment, significant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pressure to breastfeed, and positive interactions with healthcare providers. The research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offers novel insights into the breastfeeding experiences of women with disabilities. These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results underscore the importance of providing enhanced support for decision-making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regarding breastfeeding among women with disabilities, as well as improving access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clinical resources that are supportive of disability-related needs. </w:t>
      </w:r>
    </w:p>
    <w:p>
      <w:pPr>
        <w:autoSpaceDN w:val="0"/>
        <w:autoSpaceDE w:val="0"/>
        <w:widowControl/>
        <w:spacing w:line="245" w:lineRule="auto" w:before="18" w:after="0"/>
        <w:ind w:left="262" w:right="21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Given the mentioned phenomenon, there is a need to narrow down topics to focus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specifically on the experiences of breastfeeding and exclusive breastfeeding among women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physical disabilities. This study aims to examine scientific evidence concerning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experiences of exclusive breastfeeding and breastfeeding among women with physical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disabilities, incorporating relevant evidence from each identified article.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280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RESEARCHED METHODS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research method used in this review is Scoping Review, a systematic design used </w:t>
      </w:r>
    </w:p>
    <w:p>
      <w:pPr>
        <w:autoSpaceDN w:val="0"/>
        <w:autoSpaceDE w:val="0"/>
        <w:widowControl/>
        <w:spacing w:line="197" w:lineRule="auto" w:before="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review the scope of the methodology, interpret evidence-based findings, and map out </w:t>
      </w:r>
    </w:p>
    <w:p>
      <w:pPr>
        <w:autoSpaceDN w:val="0"/>
        <w:autoSpaceDE w:val="0"/>
        <w:widowControl/>
        <w:spacing w:line="197" w:lineRule="auto" w:before="5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concepts and type of research underlying the research. The steps undertaken in this </w:t>
      </w:r>
    </w:p>
    <w:p>
      <w:pPr>
        <w:autoSpaceDN w:val="0"/>
        <w:autoSpaceDE w:val="0"/>
        <w:widowControl/>
        <w:spacing w:line="197" w:lineRule="auto" w:before="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review include several stages. First, researchers identified research questions guided by </w:t>
      </w:r>
    </w:p>
    <w:p>
      <w:pPr>
        <w:autoSpaceDN w:val="0"/>
        <w:autoSpaceDE w:val="0"/>
        <w:widowControl/>
        <w:spacing w:line="197" w:lineRule="auto" w:before="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questions about breastfeeding experiences and exclusive breastfeeding in women with </w:t>
      </w:r>
    </w:p>
    <w:p>
      <w:pPr>
        <w:autoSpaceDN w:val="0"/>
        <w:autoSpaceDE w:val="0"/>
        <w:widowControl/>
        <w:spacing w:line="197" w:lineRule="auto" w:before="5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physical disabilities. Then, researchers develop a review focus and search strategy using the </w:t>
      </w:r>
    </w:p>
    <w:p>
      <w:pPr>
        <w:autoSpaceDN w:val="0"/>
        <w:autoSpaceDE w:val="0"/>
        <w:widowControl/>
        <w:spacing w:line="197" w:lineRule="auto" w:before="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Population, Concept, Context (PCC) format, which leads to identifying key concepts and </w:t>
      </w:r>
    </w:p>
    <w:p>
      <w:pPr>
        <w:autoSpaceDN w:val="0"/>
        <w:autoSpaceDE w:val="0"/>
        <w:widowControl/>
        <w:spacing w:line="197" w:lineRule="auto" w:before="5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developing appropriate search terms. The second stage involves identifying relevant studies </w:t>
      </w:r>
    </w:p>
    <w:p>
      <w:pPr>
        <w:autoSpaceDN w:val="0"/>
        <w:autoSpaceDE w:val="0"/>
        <w:widowControl/>
        <w:spacing w:line="197" w:lineRule="auto" w:before="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by determining the database, inclusion criteria, and keywords. Researchers use a variety of </w:t>
      </w:r>
    </w:p>
    <w:p>
      <w:pPr>
        <w:autoSpaceDN w:val="0"/>
        <w:autoSpaceDE w:val="0"/>
        <w:widowControl/>
        <w:spacing w:line="197" w:lineRule="auto" w:before="52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databases and specific inclusion criteria to identify relevant research articles. </w:t>
      </w:r>
    </w:p>
    <w:p>
      <w:pPr>
        <w:autoSpaceDN w:val="0"/>
        <w:autoSpaceDE w:val="0"/>
        <w:widowControl/>
        <w:spacing w:line="197" w:lineRule="auto" w:before="54" w:after="0"/>
        <w:ind w:left="8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third step involves article selection by checking duplication, filtering titles and </w:t>
      </w:r>
    </w:p>
    <w:p>
      <w:pPr>
        <w:autoSpaceDN w:val="0"/>
        <w:autoSpaceDE w:val="0"/>
        <w:widowControl/>
        <w:spacing w:line="197" w:lineRule="auto" w:before="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abstracts, and reading the research article in full. This study uses the Prisma Flow Chart to </w:t>
      </w:r>
    </w:p>
    <w:p>
      <w:pPr>
        <w:autoSpaceDN w:val="0"/>
        <w:autoSpaceDE w:val="0"/>
        <w:widowControl/>
        <w:spacing w:line="197" w:lineRule="auto" w:before="5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provide an overview of scientific article search protocols and conduct quality assessments </w:t>
      </w:r>
    </w:p>
    <w:p>
      <w:pPr>
        <w:autoSpaceDN w:val="0"/>
        <w:autoSpaceDE w:val="0"/>
        <w:widowControl/>
        <w:spacing w:line="197" w:lineRule="auto" w:before="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improve writing quality. After article selection, the Data Charting stage is completed by </w:t>
      </w:r>
    </w:p>
    <w:p>
      <w:pPr>
        <w:autoSpaceDN w:val="0"/>
        <w:autoSpaceDE w:val="0"/>
        <w:widowControl/>
        <w:spacing w:line="197" w:lineRule="auto" w:before="5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compiling data in tables that include information about the title, researchers, year, country, </w:t>
      </w:r>
    </w:p>
    <w:p>
      <w:pPr>
        <w:autoSpaceDN w:val="0"/>
        <w:autoSpaceDE w:val="0"/>
        <w:widowControl/>
        <w:spacing w:line="197" w:lineRule="auto" w:before="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goals, methods, participants, and results of each relevant research article. Lastly, the study </w:t>
      </w:r>
    </w:p>
    <w:p>
      <w:pPr>
        <w:autoSpaceDN w:val="0"/>
        <w:autoSpaceDE w:val="0"/>
        <w:widowControl/>
        <w:spacing w:line="197" w:lineRule="auto" w:before="5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assessed the quality of articles using tools from the Joanna Briggs Institute (JBI) for </w:t>
      </w:r>
    </w:p>
    <w:p>
      <w:pPr>
        <w:autoSpaceDN w:val="0"/>
        <w:autoSpaceDE w:val="0"/>
        <w:widowControl/>
        <w:spacing w:line="197" w:lineRule="auto" w:before="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qualitative and quantitative research studies by establishing value criteria for each question </w:t>
      </w:r>
    </w:p>
    <w:p>
      <w:pPr>
        <w:autoSpaceDN w:val="0"/>
        <w:autoSpaceDE w:val="0"/>
        <w:widowControl/>
        <w:spacing w:line="197" w:lineRule="auto" w:before="5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related to research methodology. Researchers then categorise the total value of articles </w:t>
      </w:r>
    </w:p>
    <w:p>
      <w:pPr>
        <w:autoSpaceDN w:val="0"/>
        <w:autoSpaceDE w:val="0"/>
        <w:widowControl/>
        <w:spacing w:line="197" w:lineRule="auto" w:before="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certain limitations to determine the quality of the articles reviewed. Thus, this </w:t>
      </w:r>
    </w:p>
    <w:p>
      <w:pPr>
        <w:autoSpaceDN w:val="0"/>
        <w:autoSpaceDE w:val="0"/>
        <w:widowControl/>
        <w:spacing w:line="197" w:lineRule="auto" w:before="52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study uses a systematic and comprehensive approach to answer the research questions. </w:t>
      </w:r>
    </w:p>
    <w:p>
      <w:pPr>
        <w:autoSpaceDN w:val="0"/>
        <w:tabs>
          <w:tab w:pos="8404" w:val="left"/>
        </w:tabs>
        <w:autoSpaceDE w:val="0"/>
        <w:widowControl/>
        <w:spacing w:line="197" w:lineRule="auto" w:before="754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349 </w:t>
      </w:r>
    </w:p>
    <w:p>
      <w:pPr>
        <w:sectPr>
          <w:pgSz w:w="12240" w:h="15840"/>
          <w:pgMar w:top="374" w:right="144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6414" w:right="144" w:hanging="5408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Experience of Breastfeeding And Exclusive Breastfeeding For Women With Physical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Disabilities: Scoping Review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450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RESULTS AND DISCUSSION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Breastfeeding Facilities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Breastfeeding adaptations and aids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Women with physical disabilities do not have the physical strength to hold their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babies long enough to breastfeed and cannot find a suitable position. Women with physical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disabilities choose to use breast pumps that they can do independently or with physical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assistance (Powell et al., 2018). Women with physical disabilities talk about breastfeeding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while lying down. Pillows are commonly used in breastfeeding individuals to position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baby (Warkentin et al., 2021).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Physical Help From Others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Women with physical disabilities say it is essential to receive physical assistance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breastfeeding from others, especially partners and family members. Physical assistance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includes positioning the mother and baby; sometimes, the helpful individual has to hold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baby while the mother is breastfeeding (Powell et al., 2018). Women with physical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disabilities receive help from others or their partners. Aids include physically positioning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baby into the mother's arms, sometimes more general aids such as putting a pillow on,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sometimes adding an extra pillow underneath the baby (Warkentin et al., 2021).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Peer Support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Women with physical disabilities find value in receiving breastfeeding information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from peers, particularly those who share similar disabilities. They gather such information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by participating in annual conferences for individuals with disabilities. The significance lies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the ability to directly communicate with others with similar disabilities, allowing for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exchange of advice on adaptation and positioning during breastfeeding (Powell et al., 2018).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Inhibitions in Breastfeeding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Lack of Support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Women with physical disabilities recognise the absence of support as a barrier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breastfeeding, both in the immediate and prolonged sense. They face challenges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collaborating with lactation consultants or accessing their services. Women feel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lactation consultants lack understanding of their needs and fail to propose strategies for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adapting breastfeeding techniques to accommodate their physical limitations (Powell et al.,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2018). Additionally, blind women express difficulties in learning to breastfeed. In such cases,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blind women should be guided by lactation consultants to teach them to communicate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location and direction effectively. </w:t>
      </w:r>
    </w:p>
    <w:p>
      <w:pPr>
        <w:autoSpaceDN w:val="0"/>
        <w:autoSpaceDE w:val="0"/>
        <w:widowControl/>
        <w:spacing w:line="245" w:lineRule="auto" w:before="52" w:after="0"/>
        <w:ind w:left="262" w:right="144" w:firstLine="56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Disabled women expressed feeling extremely anxious when they encountered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difficulties in breastfeeding, fearing that this might lead hospital staff to question their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ability to care for their babies (Andrews et al., 2021). Additionally, women with disabilities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reported not exclusively breastfeeding due to various reasons such as financial constraints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enhance their nutritional intake, previous cesarean sections, pressure from some medical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personnel, and ineffective communication strategies, among others. The primary source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support for these women came from their mothers and grandmothers (Buor et al., 2021)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Limited information </w:t>
      </w:r>
    </w:p>
    <w:p>
      <w:pPr>
        <w:autoSpaceDN w:val="0"/>
        <w:tabs>
          <w:tab w:pos="8688" w:val="left"/>
        </w:tabs>
        <w:autoSpaceDE w:val="0"/>
        <w:widowControl/>
        <w:spacing w:line="197" w:lineRule="auto" w:before="776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350</w:t>
      </w:r>
    </w:p>
    <w:p>
      <w:pPr>
        <w:sectPr>
          <w:pgSz w:w="12240" w:h="15840"/>
          <w:pgMar w:top="384" w:right="144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14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Ririn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 Mufdlilah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Endang Koni Suryaningsih</w:t>
      </w:r>
      <w:r>
        <w:rPr>
          <w:rFonts w:ascii="Calibri" w:hAnsi="Calibri" w:eastAsia="Calibri"/>
          <w:b w:val="0"/>
          <w:i w:val="0"/>
          <w:color w:val="000000"/>
          <w:sz w:val="16"/>
        </w:rPr>
        <w:t>3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742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Breastfeeding women highlight the lack of information regarding breastfeeding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disability as a significant obstacle. One woman expressed frustration due to receiving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information primarily tailored for non-disabled women, which did not address her specific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needs. Women with disabilities expect others to have a better understanding of their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requirements and advocate for more accessible and relevant breastfeeding information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explicitly targeted toward women with disabilities (Powell et al., 2018)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Difficulties with milk supply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Women with physical disabilities discuss difficulties associated with breastfeeding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supply. They experience delays initiating breastfeeding due to finding the appropriate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breastfeeding technique. This delay is believed to contribute to their inability to produce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adequate amounts of milk (Powell et al., 2018). Additionally, women with physical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disabilities express that the breast milk supply is insufficient to sustain breastfeeding.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Despite their desire to breastfeed, many women cannot continue breastfeeding for 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extended period (Andrews et al., 2021).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Difficulty in breastfeeding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Breastfeeding women have difficulty latching. However, attachment is a challenge for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many women. Women with physical disabilities often feel irritated because of their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limitations, namely problems in positioning (Powell et al., 2018).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Breastfeeding Experience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The Decision To Breastfeed Or Vice Versa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Women with physical disabilities opt to breastfeed influenced by various factors.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Their mothers influence some, while others are inspired by their admiration for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breastfeeding women. Additionally, some decide to breastfeed based on advice from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nurses and their personal beliefs regarding breastfeeding. Women express that their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affection towards their children, the natural properties of breast milk, and the belief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breast milk is a divine creation influence their decision to breastfeed. Breastfeeding elicits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emotions, including joy, love, anger, and pain for some women. It is viewed as a bond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love between mother and child (Acheampong et al., 2020)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Challenges Related To Childcare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Mobility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Women with physical disabilities employ various methods of mobility in their daily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lives. Some may crawl while carrying their babies, others sit in wheelchairs with their babies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their laps, and some use crutches and callipers to move around. When babies cry 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night, some women may need to crawl on the floor to reach their babies and breastfeed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them (Acheampong et al., 2020).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Prejudice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Women with physical disabilities experience feelings of judgment from the broader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society, starting from the antenatal period through becoming mothers. They perceive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many individuals believe they are unfit for motherhood due to their physical limitations.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There is a prevailing notion that women with physical disabilities are unable to fulfil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responsibilities of competent motherhood (Acheampong et al., 2020). </w:t>
      </w:r>
    </w:p>
    <w:p>
      <w:pPr>
        <w:autoSpaceDN w:val="0"/>
        <w:autoSpaceDE w:val="0"/>
        <w:widowControl/>
        <w:spacing w:line="197" w:lineRule="auto" w:before="54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Discrimination </w:t>
      </w:r>
    </w:p>
    <w:p>
      <w:pPr>
        <w:autoSpaceDN w:val="0"/>
        <w:tabs>
          <w:tab w:pos="8404" w:val="left"/>
        </w:tabs>
        <w:autoSpaceDE w:val="0"/>
        <w:widowControl/>
        <w:spacing w:line="197" w:lineRule="auto" w:before="580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351 </w:t>
      </w:r>
    </w:p>
    <w:p>
      <w:pPr>
        <w:sectPr>
          <w:pgSz w:w="12240" w:h="15840"/>
          <w:pgMar w:top="374" w:right="144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6414" w:right="144" w:hanging="5408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Experience of Breastfeeding And Exclusive Breastfeeding For Women With Physical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Disabilities: Scoping Review </w:t>
      </w:r>
    </w:p>
    <w:p>
      <w:pPr>
        <w:autoSpaceDN w:val="0"/>
        <w:autoSpaceDE w:val="0"/>
        <w:widowControl/>
        <w:spacing w:line="245" w:lineRule="auto" w:before="450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Women with physical disabilities recount instances where they perceive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discrimination, often stemming from the belief among some individuals that physical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disabilities are contagious. They report feeling discriminated against in various encounters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different people, with some experiencing emotional distress to the point of crying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(Acheampong et al., 2020). However, there are limitations to this study. Firstly, the search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 restricted to English, potentially introducing bias in each article. Additionally, the search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 limited to the years 2018-2023, which may restrict the breadth of the search.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Furthermore, including various research methods in the scoping review yields diverse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results, albeit potentially less significant.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CONCLUSION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summary, breastfeeding and infant care offer a source of hope for women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physical disabilities despite encountering numerous challenges in fulfilling their maternal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roles. These women experience a range of breastfeeding facilities, barriers, experiences,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childcare-related challenges. Enhancing breastfeeding support for women with physical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disabilities necessitates a deeper understanding of their needs and experiences.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healthcare providers gaining better insight into breastfeeding among this demographic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increased access to lactation consultations, physical assistance, and community support, </w:t>
      </w:r>
      <w:r>
        <w:rPr>
          <w:rFonts w:ascii="Calibri" w:hAnsi="Calibri" w:eastAsia="Calibri"/>
          <w:b w:val="0"/>
          <w:i w:val="0"/>
          <w:color w:val="000000"/>
          <w:sz w:val="24"/>
        </w:rPr>
        <w:t>more women with physical disabilities can successfully breastfeed.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REFERENCES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Acheampong, A. K., Aziato, L., Marfo, M., &amp; Amevor, P. (2020). Breastfeeding and caring for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children: a qualitative exploration of mothers' experiences with physical impairments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Ghana. </w:t>
      </w:r>
      <w:r>
        <w:rPr>
          <w:rFonts w:ascii="Calibri" w:hAnsi="Calibri" w:eastAsia="Calibri"/>
          <w:b w:val="0"/>
          <w:i/>
          <w:color w:val="000000"/>
          <w:sz w:val="24"/>
        </w:rPr>
        <w:t>BMC Pregnancy and Childbirth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20</w:t>
      </w:r>
      <w:r>
        <w:rPr>
          <w:rFonts w:ascii="Calibri" w:hAnsi="Calibri" w:eastAsia="Calibri"/>
          <w:b w:val="0"/>
          <w:i w:val="0"/>
          <w:color w:val="000000"/>
          <w:sz w:val="24"/>
        </w:rPr>
        <w:t>(1), 331. https://doi.org/10.1186/s12884-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020-03028-1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Andrews, E. E., Andrews, E. E., Andrews, E. E., Powell, R. M., Ayers, K. B., &amp; Ayers, K. B. </w:t>
      </w:r>
    </w:p>
    <w:p>
      <w:pPr>
        <w:autoSpaceDN w:val="0"/>
        <w:autoSpaceDE w:val="0"/>
        <w:widowControl/>
        <w:spacing w:line="197" w:lineRule="auto" w:before="52" w:after="0"/>
        <w:ind w:left="74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(2020). Experiences of Breastfeeding among Disabled Women. </w:t>
      </w:r>
      <w:r>
        <w:rPr>
          <w:rFonts w:ascii="Calibri" w:hAnsi="Calibri" w:eastAsia="Calibri"/>
          <w:b w:val="0"/>
          <w:i/>
          <w:color w:val="000000"/>
          <w:sz w:val="24"/>
        </w:rPr>
        <w:t>Women's Health Issues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4" w:after="26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https://doi.org/10.1016/j.whi.2020.09.001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Andrews, E. E., Powell, R. M., &amp; Ayers, K. B. (2021). Experiences of Breastfeeding among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29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22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Disabled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Women.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Women’s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Health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Issues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,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31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(1),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25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82–89. </w:t>
            </w:r>
          </w:p>
        </w:tc>
      </w:tr>
    </w:tbl>
    <w:p>
      <w:pPr>
        <w:autoSpaceDN w:val="0"/>
        <w:tabs>
          <w:tab w:pos="742" w:val="left"/>
        </w:tabs>
        <w:autoSpaceDE w:val="0"/>
        <w:widowControl/>
        <w:spacing w:line="245" w:lineRule="auto" w:before="28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https://doi.org/10.1016/j.whi.2020.09.001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Aziz, &amp; Safrudin. (2014). </w:t>
      </w:r>
      <w:r>
        <w:rPr>
          <w:rFonts w:ascii="Calibri" w:hAnsi="Calibri" w:eastAsia="Calibri"/>
          <w:b w:val="0"/>
          <w:i/>
          <w:color w:val="000000"/>
          <w:sz w:val="24"/>
        </w:rPr>
        <w:t>Perpustakaan Ramah Difabel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Yogyakarta: Ar-Ruzz Media.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Buor, D., Obosu, R. A., &amp; Agyeman, S. (2021). Support for Disabled Mothers in Exclusive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Breastfeeding in the Kumasi Metropolitan Area, Ghana. </w:t>
      </w:r>
      <w:r>
        <w:rPr>
          <w:rFonts w:ascii="Calibri" w:hAnsi="Calibri" w:eastAsia="Calibri"/>
          <w:b w:val="0"/>
          <w:i/>
          <w:color w:val="000000"/>
          <w:sz w:val="24"/>
        </w:rPr>
        <w:t>East African Medical Journal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98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(8), 4000–4008. </w:t>
      </w:r>
    </w:p>
    <w:p>
      <w:pPr>
        <w:autoSpaceDN w:val="0"/>
        <w:autoSpaceDE w:val="0"/>
        <w:widowControl/>
        <w:spacing w:line="245" w:lineRule="auto" w:before="52" w:after="0"/>
        <w:ind w:left="742" w:right="212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Habibah, N. (2022). Hubungan Pengetahuan Ibu Tentang Teknik Menyusui Dengan Keadaan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Puting Susu Lecet DiKelurahan Hajoran Kecamatan Pandan Kabupaten Tapanuli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Tengah. </w:t>
      </w:r>
      <w:r>
        <w:rPr>
          <w:rFonts w:ascii="Calibri" w:hAnsi="Calibri" w:eastAsia="Calibri"/>
          <w:b w:val="0"/>
          <w:i/>
          <w:color w:val="000000"/>
          <w:sz w:val="24"/>
        </w:rPr>
        <w:t>Jurnal Kesehatan Ilmiah Indonesia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6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174–179. </w:t>
      </w:r>
    </w:p>
    <w:p>
      <w:pPr>
        <w:autoSpaceDN w:val="0"/>
        <w:autoSpaceDE w:val="0"/>
        <w:widowControl/>
        <w:spacing w:line="245" w:lineRule="auto" w:before="52" w:after="28"/>
        <w:ind w:left="742" w:right="210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Muliadi, T., Ahmad, A., Nur, A., Marissa, N., Marisa, Junaidi, Reynaldi, F., Fitriyaningsih, E.,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Husnah, &amp; Naufal, I. (2023). The coverage of indicators of sensitive and specific </w:t>
      </w:r>
      <w:r>
        <w:rPr>
          <w:rFonts w:ascii="Calibri" w:hAnsi="Calibri" w:eastAsia="Calibri"/>
          <w:b w:val="0"/>
          <w:i w:val="0"/>
          <w:color w:val="000000"/>
          <w:sz w:val="24"/>
        </w:rPr>
        <w:t>intervention programs and prevalence of stunting under-five children: A cross-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trHeight w:hRule="exact" w:val="50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1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sectional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study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in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Aceh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Province, 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Indonesia. 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Nutrition 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and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Health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, </w:t>
            </w:r>
          </w:p>
        </w:tc>
      </w:tr>
      <w:tr>
        <w:trPr>
          <w:trHeight w:hRule="exact" w:val="466"/>
        </w:trPr>
        <w:tc>
          <w:tcPr>
            <w:tcW w:type="dxa" w:w="49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6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Jurnal Health Sains, Vol. 5, No. 5, May 2024 </w:t>
            </w:r>
          </w:p>
        </w:tc>
        <w:tc>
          <w:tcPr>
            <w:tcW w:type="dxa" w:w="1040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6" w:after="0"/>
              <w:ind w:left="0" w:right="18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352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84" w:right="144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14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Ririn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 Mufdlilah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Endang Koni Suryaningsih</w:t>
      </w:r>
      <w:r>
        <w:rPr>
          <w:rFonts w:ascii="Calibri" w:hAnsi="Calibri" w:eastAsia="Calibri"/>
          <w:b w:val="0"/>
          <w:i w:val="0"/>
          <w:color w:val="000000"/>
          <w:sz w:val="16"/>
        </w:rPr>
        <w:t>3</w:t>
      </w:r>
    </w:p>
    <w:p>
      <w:pPr>
        <w:autoSpaceDN w:val="0"/>
        <w:autoSpaceDE w:val="0"/>
        <w:widowControl/>
        <w:spacing w:line="197" w:lineRule="auto" w:before="742" w:after="0"/>
        <w:ind w:left="74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02601060231164664.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Organization, W. H. (2020).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WHO consolidated guidelines on tuberculosis. Module 3: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Diagnosis-Rapid diagnostics for tuberculosis detection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World Health Organization.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OT, D. P. M., &amp; Das, S. P. (n.d.). Early Identification and Intervention of Childhood Locomotor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Disability.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Department of Empowerment of Persons with Disabilities (Divyangjan)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Ministry of Social Justice and Empowerment Government of India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174.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Patel, D. R., Neelakantan, M., Pandher, K., &amp; Merrick, J. (2020). Cerebral palsy in children: a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clinical overview. </w:t>
      </w:r>
      <w:r>
        <w:rPr>
          <w:rFonts w:ascii="Calibri" w:hAnsi="Calibri" w:eastAsia="Calibri"/>
          <w:b w:val="0"/>
          <w:i/>
          <w:color w:val="000000"/>
          <w:sz w:val="24"/>
        </w:rPr>
        <w:t>Translational Pediatrics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9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(Suppl 1), S125. </w:t>
      </w:r>
    </w:p>
    <w:p>
      <w:pPr>
        <w:autoSpaceDN w:val="0"/>
        <w:autoSpaceDE w:val="0"/>
        <w:widowControl/>
        <w:spacing w:line="245" w:lineRule="auto" w:before="52" w:after="0"/>
        <w:ind w:left="742" w:right="208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Powell, R. M., Mitra, M., Smeltzer, S. C., Long-Bellil, L. M., Smith, L. D., Rosenthal, E., &amp;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Iezzoni, L. I. (2018). Breastfeeding among women with physical disabilities in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United States. </w:t>
      </w:r>
      <w:r>
        <w:rPr>
          <w:rFonts w:ascii="Calibri" w:hAnsi="Calibri" w:eastAsia="Calibri"/>
          <w:b w:val="0"/>
          <w:i/>
          <w:color w:val="000000"/>
          <w:sz w:val="24"/>
        </w:rPr>
        <w:t>Journal of Human Lactation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34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(2), 253–261. </w:t>
      </w:r>
    </w:p>
    <w:p>
      <w:pPr>
        <w:autoSpaceDN w:val="0"/>
        <w:autoSpaceDE w:val="0"/>
        <w:widowControl/>
        <w:spacing w:line="197" w:lineRule="auto" w:before="56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Pritchard, E. (2020). </w:t>
      </w:r>
      <w:r>
        <w:rPr>
          <w:rFonts w:ascii="Calibri" w:hAnsi="Calibri" w:eastAsia="Calibri"/>
          <w:b w:val="0"/>
          <w:i/>
          <w:color w:val="000000"/>
          <w:sz w:val="24"/>
        </w:rPr>
        <w:t>Dwarfism, spatiality, and disabling experiences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Routledge.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Roesli U. (2013). </w:t>
      </w:r>
      <w:r>
        <w:rPr>
          <w:rFonts w:ascii="Calibri" w:hAnsi="Calibri" w:eastAsia="Calibri"/>
          <w:b w:val="0"/>
          <w:i/>
          <w:color w:val="000000"/>
          <w:sz w:val="24"/>
        </w:rPr>
        <w:t>Mengenal ASI Eksklusif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Jakarta: PT. Pustaka Pembangunan Swadaya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Nusantara. </w:t>
      </w:r>
    </w:p>
    <w:p>
      <w:pPr>
        <w:autoSpaceDN w:val="0"/>
        <w:autoSpaceDE w:val="0"/>
        <w:widowControl/>
        <w:spacing w:line="197" w:lineRule="auto" w:before="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Vaz, J. S., Maia, M. F. S., Neves, P. A. R., Santos, T. M., Vidaletti, L. P., &amp; Victora, C. (2021). </w:t>
      </w:r>
    </w:p>
    <w:p>
      <w:pPr>
        <w:autoSpaceDN w:val="0"/>
        <w:autoSpaceDE w:val="0"/>
        <w:widowControl/>
        <w:spacing w:line="245" w:lineRule="auto" w:before="52" w:after="0"/>
        <w:ind w:left="74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Monitoring breastfeeding indicators in high‐income countries: Levels, trends,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challenges. </w:t>
      </w:r>
      <w:r>
        <w:rPr>
          <w:rFonts w:ascii="Calibri" w:hAnsi="Calibri" w:eastAsia="Calibri"/>
          <w:b w:val="0"/>
          <w:i/>
          <w:color w:val="000000"/>
          <w:sz w:val="24"/>
        </w:rPr>
        <w:t>Maternal &amp; Child Nutrition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17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(3), e13137. </w:t>
      </w:r>
    </w:p>
    <w:p>
      <w:pPr>
        <w:autoSpaceDN w:val="0"/>
        <w:autoSpaceDE w:val="0"/>
        <w:widowControl/>
        <w:spacing w:line="245" w:lineRule="auto" w:before="52" w:after="0"/>
        <w:ind w:left="742" w:right="206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Warkentin, T., Hermann, S., &amp; Berndl, A. (2021). Breastfeeding positions and techniques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used by Canadians with physical disabilities. </w:t>
      </w:r>
      <w:r>
        <w:rPr>
          <w:rFonts w:ascii="Calibri" w:hAnsi="Calibri" w:eastAsia="Calibri"/>
          <w:b w:val="0"/>
          <w:i/>
          <w:color w:val="000000"/>
          <w:sz w:val="24"/>
        </w:rPr>
        <w:t>Disability and Health Journal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14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(4),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101151. </w:t>
      </w:r>
    </w:p>
    <w:p>
      <w:pPr>
        <w:autoSpaceDN w:val="0"/>
        <w:autoSpaceDE w:val="0"/>
        <w:widowControl/>
        <w:spacing w:line="245" w:lineRule="auto" w:before="392" w:after="0"/>
        <w:ind w:left="2160" w:right="216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Copyright Holder: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Ririn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 Mufdlilah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Endang Koni Suryaningsih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3 </w:t>
      </w:r>
      <w:r>
        <w:rPr>
          <w:rFonts w:ascii="Calibri" w:hAnsi="Calibri" w:eastAsia="Calibri"/>
          <w:b w:val="0"/>
          <w:i w:val="0"/>
          <w:color w:val="000000"/>
          <w:sz w:val="24"/>
        </w:rPr>
        <w:t>(2024)</w:t>
      </w:r>
    </w:p>
    <w:p>
      <w:pPr>
        <w:autoSpaceDN w:val="0"/>
        <w:autoSpaceDE w:val="0"/>
        <w:widowControl/>
        <w:spacing w:line="245" w:lineRule="auto" w:before="386" w:after="0"/>
        <w:ind w:left="3312" w:right="3312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First Publication Right: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Journal of Health Science </w:t>
      </w:r>
    </w:p>
    <w:p>
      <w:pPr>
        <w:autoSpaceDN w:val="0"/>
        <w:autoSpaceDE w:val="0"/>
        <w:widowControl/>
        <w:spacing w:line="197" w:lineRule="auto" w:before="384" w:after="0"/>
        <w:ind w:left="0" w:right="3086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This article is licensed under: </w:t>
      </w:r>
    </w:p>
    <w:p>
      <w:pPr>
        <w:autoSpaceDN w:val="0"/>
        <w:autoSpaceDE w:val="0"/>
        <w:widowControl/>
        <w:spacing w:line="240" w:lineRule="auto" w:before="24" w:after="50"/>
        <w:ind w:left="0" w:right="396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38200" cy="2946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463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680"/>
        <w:gridCol w:w="4680"/>
      </w:tblGrid>
      <w:tr>
        <w:trPr>
          <w:trHeight w:hRule="exact" w:val="3924"/>
        </w:trPr>
        <w:tc>
          <w:tcPr>
            <w:tcW w:type="dxa" w:w="8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Jurnal Health Sains, Vol. 5, No. 5, May 2024 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25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353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74" w:right="1440" w:bottom="50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ririnsaputri9797@gmail.com" TargetMode="External"/><Relationship Id="rId11" Type="http://schemas.openxmlformats.org/officeDocument/2006/relationships/hyperlink" Target="mailto:mufdlilah.stikes@gmail.com" TargetMode="External"/><Relationship Id="rId12" Type="http://schemas.openxmlformats.org/officeDocument/2006/relationships/hyperlink" Target="mailto:koni@unisayogya.ac.id" TargetMode="External"/><Relationship Id="rId1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