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sectPr>
          <w:pgSz w:w="11899" w:h="16819"/>
          <w:pgMar w:top="802" w:right="1440" w:bottom="46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869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899" w:h="16819"/>
          <w:pgMar w:top="802" w:right="1440" w:bottom="460" w:left="1440" w:header="720" w:footer="720" w:gutter="0"/>
          <w:cols w:num="2" w:equalWidth="0">
            <w:col w:w="4432" w:space="0"/>
            <w:col w:w="4588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320"/>
        <w:ind w:left="624" w:right="144" w:firstLine="1012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Volume 5, No. 5 May, 2024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p ISSN 2723-6927-e ISSN 2723-4339 </w:t>
      </w:r>
    </w:p>
    <w:p>
      <w:pPr>
        <w:sectPr>
          <w:type w:val="nextColumn"/>
          <w:pgSz w:w="11899" w:h="16819"/>
          <w:pgMar w:top="802" w:right="1440" w:bottom="460" w:left="1440" w:header="720" w:footer="720" w:gutter="0"/>
          <w:cols w:num="2" w:equalWidth="0">
            <w:col w:w="4432" w:space="0"/>
            <w:col w:w="45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8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Comparison of Sensitivity, Specificity, and Accuracy of ISS, RTS, and TRISS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Instruments in Predicting Mortality of Trauma Patients </w:t>
      </w:r>
    </w:p>
    <w:p>
      <w:pPr>
        <w:autoSpaceDN w:val="0"/>
        <w:autoSpaceDE w:val="0"/>
        <w:widowControl/>
        <w:spacing w:line="245" w:lineRule="auto" w:before="326" w:after="0"/>
        <w:ind w:left="720" w:right="72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>Fenny Tianda</w:t>
      </w:r>
      <w:r>
        <w:rPr>
          <w:rFonts w:ascii="Calibri" w:hAnsi="Calibri" w:eastAsia="Calibri"/>
          <w:b/>
          <w:i w:val="0"/>
          <w:color w:val="000000"/>
          <w:sz w:val="16"/>
        </w:rPr>
        <w:t>1</w:t>
      </w:r>
      <w:r>
        <w:rPr>
          <w:rFonts w:ascii="Calibri" w:hAnsi="Calibri" w:eastAsia="Calibri"/>
          <w:b/>
          <w:i w:val="0"/>
          <w:color w:val="000000"/>
          <w:sz w:val="24"/>
        </w:rPr>
        <w:t>, Kumboyono Kumboyono</w:t>
      </w:r>
      <w:r>
        <w:rPr>
          <w:rFonts w:ascii="Calibri" w:hAnsi="Calibri" w:eastAsia="Calibri"/>
          <w:b/>
          <w:i w:val="0"/>
          <w:color w:val="000000"/>
          <w:sz w:val="16"/>
        </w:rPr>
        <w:t>2</w:t>
      </w:r>
      <w:r>
        <w:rPr>
          <w:rFonts w:ascii="Calibri" w:hAnsi="Calibri" w:eastAsia="Calibri"/>
          <w:b/>
          <w:i w:val="0"/>
          <w:color w:val="000000"/>
          <w:sz w:val="24"/>
        </w:rPr>
        <w:t>, Suryanto Suryanto</w:t>
      </w:r>
      <w:r>
        <w:rPr>
          <w:rFonts w:ascii="Calibri" w:hAnsi="Calibri" w:eastAsia="Calibri"/>
          <w:b/>
          <w:i w:val="0"/>
          <w:color w:val="000000"/>
          <w:sz w:val="16"/>
        </w:rPr>
        <w:t xml:space="preserve">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1,2,3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Brawijaya University, Malang, East Java, Indonesia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Email: arteri19@gmail.com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abu_hilmi.fk@ub.ac.id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suryanto.s@ub.ac.id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197" w:lineRule="auto" w:before="346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ABSTRACT </w:t>
      </w:r>
    </w:p>
    <w:p>
      <w:pPr>
        <w:autoSpaceDN w:val="0"/>
        <w:autoSpaceDE w:val="0"/>
        <w:widowControl/>
        <w:spacing w:line="245" w:lineRule="auto" w:before="146" w:after="0"/>
        <w:ind w:left="262" w:right="2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study aims to compare the effectiveness of three trauma scoring systems—Injury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Severity Score (ISS), Revised Trauma Score (RTS), and Trauma and Injury Severity Score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(TRISS)—in predicting mortality among trauma patients at Inche Abdoel Moeis Regional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Hospital Samarinda's emergency room. Trauma assessment tools are crucial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reducing mortality rates and enhancing patient outcomes. While ISS focuses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anatomical factors, RTS integrates physiological parameters, and TRISS combines both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a comprehensive evaluation. Previous research suggests their effectiveness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mortality prediction, albeit with variations in performance. The absence of a dedicated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assessment system at the hospital underscores the urgency of this research.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evaluating the performance of ISS, RTS, and TRISS, this study aims to inform clinical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practice and enhance trauma patient management, ultimately reducing mortality rates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improving outcomes in the emergency room setting. The study's methodology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involves retrospective analysis of trauma patient data, including demographics, injury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characteristics, and outcomes. Statistical analysis will compare the performance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three scoring systems in predicting mortality with implications for trauma care protocols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resource allocation. Results will contribute to evidence-based decision-making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emergency room settings, facilitating more accurate triage and treatment strategies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patients. </w:t>
      </w:r>
    </w:p>
    <w:p>
      <w:pPr>
        <w:autoSpaceDN w:val="0"/>
        <w:autoSpaceDE w:val="0"/>
        <w:widowControl/>
        <w:spacing w:line="197" w:lineRule="auto" w:before="346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Keywords: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ISS, RTS, TRISS, Trauma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Every year, thousands of people lose their lives due to trauma, such as traffic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accidents and serious injuries. The impact is not only limited to mortality rates but also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causes long-term disability and significant financial burdens (Organization, 2020). 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high mortality and morbidity rates in trauma patients are due to certain factors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contribute to an increased risk of complications and poor prognosis.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reduce the morbidity and mortality of trauma patients, it is essential to carry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out an efficient and thorough trauma assessment. One tool used in this assessment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trauma scoring system, designed to predict mortality rates and assist in patient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 decision-making (Kostiuk &amp; Burns, 2023). Some studies have also shown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trauma scoring systems can make it easier for clinicians to evaluate the severity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patient's trauma and help in choosing appropriate management (Andara, Kadar,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Albar, 2022). </w:t>
      </w:r>
    </w:p>
    <w:p>
      <w:pPr>
        <w:autoSpaceDN w:val="0"/>
        <w:tabs>
          <w:tab w:pos="8398" w:val="left"/>
        </w:tabs>
        <w:autoSpaceDE w:val="0"/>
        <w:widowControl/>
        <w:spacing w:line="197" w:lineRule="auto" w:before="622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328 </w:t>
      </w:r>
    </w:p>
    <w:p>
      <w:pPr>
        <w:sectPr>
          <w:type w:val="continuous"/>
          <w:pgSz w:w="11899" w:h="16819"/>
          <w:pgMar w:top="802" w:right="144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Fenny Tianda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Kumboyono Kumboyono Penulis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Suryanto Suryanto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3 </w:t>
      </w:r>
    </w:p>
    <w:p>
      <w:pPr>
        <w:autoSpaceDN w:val="0"/>
        <w:autoSpaceDE w:val="0"/>
        <w:widowControl/>
        <w:spacing w:line="245" w:lineRule="auto" w:before="726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conducted by (Khan, Hussain, &amp;; Mehmood, 2016) Indicates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existence of nearly 60 severity measures or scoring systems developed for injury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research. This indicates the complexity of measuring the severity of injuries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need for an accurate assessment. Complexity in the assessment of injury severity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trauma necessitates the development of various scoring systems or scores that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anatomical injury patterns, physiological data, or a combination of both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((Magee et al., 2021); (Khan et al., 2016); (Yilmaz et al., &amp;; Tataroglu, 2021)).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anatomical injury pattern-based scoring system evaluates the type, location,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severity of injuries that occur to specific body parts. Examples of anatomy-based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assessments include AIS (Abbreviated Injury Scale), ISS (Injury et al.), Modified ISS,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Anatomic Profile, and ICISS (International Classification of Diseases-based Injury Severity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Score).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Meanwhile, a physiological data-driven scoring system involves measuring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assessing physiological parameters such as blood pressure, pulse rate, and level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consciousness. The assessment system that combines these two aspects seeks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integrate anatomical and physiological information to provide a more comprehensive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assessment of the severity of the trauma. Examples that combine anatomical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>physiological aspects are TRISS (</w:t>
      </w:r>
      <w:r>
        <w:rPr>
          <w:rFonts w:ascii="Calibri" w:hAnsi="Calibri" w:eastAsia="Calibri"/>
          <w:b w:val="0"/>
          <w:i/>
          <w:color w:val="000000"/>
          <w:sz w:val="24"/>
        </w:rPr>
        <w:t>Trauma and Injury Severity Score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), Polytrauma-Schussel, </w:t>
      </w:r>
      <w:r>
        <w:rPr>
          <w:rFonts w:ascii="Calibri" w:hAnsi="Calibri" w:eastAsia="Calibri"/>
          <w:b w:val="0"/>
          <w:i/>
          <w:color w:val="000000"/>
          <w:sz w:val="24"/>
        </w:rPr>
        <w:t>Trauma Index</w:t>
      </w:r>
      <w:r>
        <w:rPr>
          <w:rFonts w:ascii="Calibri" w:hAnsi="Calibri" w:eastAsia="Calibri"/>
          <w:b w:val="0"/>
          <w:i w:val="0"/>
          <w:color w:val="000000"/>
          <w:sz w:val="24"/>
        </w:rPr>
        <w:t>, and ASCOT (</w:t>
      </w:r>
      <w:r>
        <w:rPr>
          <w:rFonts w:ascii="Calibri" w:hAnsi="Calibri" w:eastAsia="Calibri"/>
          <w:b w:val="0"/>
          <w:i/>
          <w:color w:val="000000"/>
          <w:sz w:val="24"/>
        </w:rPr>
        <w:t>A Severity Characterization of Trauma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).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addition to other explanations, (Magee et al., 2021) Highlights the various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scoring systems used to evaluate and identify high-risk trauma patients.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system uses anatomical, physiological, or a combination of both properties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evaluating the severity of trauma. This suggests variations in approaches to trauma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severity assessment, and selecting an appropriate assessment system depends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objectives or specific clinical needs. </w:t>
      </w:r>
    </w:p>
    <w:p>
      <w:pPr>
        <w:autoSpaceDN w:val="0"/>
        <w:autoSpaceDE w:val="0"/>
        <w:widowControl/>
        <w:spacing w:line="245" w:lineRule="auto" w:before="58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application of valid and accurate trauma scores is expected to reduce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mortality and morbidity rates in trauma patients. Trauma scores assist healthcare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professionals in quickly and accurately evaluating the severity of injuries, enabling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informed treatment decisions. With a growing understanding of the factors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influence trauma prognosis, trauma scores can be an effective tool for improving the life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safety of trauma patients and reducing complications that can lead to death ((Andara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al., 2022); (Farzan et al., &amp;; Mohammadi, 2022); (Khan et al., 2016)).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research conducted by (Farzan et al., 2022), it was found that about 25-50%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deaths are preventable. In this context, the mortality rate is the most accurate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parameter in measuring trauma prognosis. Efficient assessment using trauma scores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helps healthcare professionals to quickly and accurately assess the severity of injuries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manage patients appropriately. Studies conducted by (Khan et al., 2016) revealed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several pragmatic and practical trauma/injury assessment systems have been used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Indonesia, which has limited health resources. Reported rating systems include ISS,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RTS, and TRISS. These scoring systems are used to measure the severity of injuries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provide guidance in managing trauma patients. The use of this assessment system helps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setting of limited resources and helps improve the quality of trauma care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Indonesia. </w:t>
      </w:r>
    </w:p>
    <w:p>
      <w:pPr>
        <w:autoSpaceDN w:val="0"/>
        <w:autoSpaceDE w:val="0"/>
        <w:widowControl/>
        <w:spacing w:line="245" w:lineRule="auto" w:before="52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ISS is used to calculate and categorize the severity of injuries in trauma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patients, as well as to predict morbidity, mortality, and other trauma outcomes (Ahmad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107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329 </w:t>
      </w:r>
    </w:p>
    <w:p>
      <w:pPr>
        <w:sectPr>
          <w:pgSz w:w="11899" w:h="16819"/>
          <w:pgMar w:top="382" w:right="1440" w:bottom="3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228" w:right="144" w:hanging="428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Comparison of Sensitivity, Specificity and Accuracy of ISS, RTS, and TRISS Instruments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Predicting Mortality of Trauma Patients </w:t>
      </w:r>
    </w:p>
    <w:p>
      <w:pPr>
        <w:autoSpaceDN w:val="0"/>
        <w:autoSpaceDE w:val="0"/>
        <w:widowControl/>
        <w:spacing w:line="245" w:lineRule="auto" w:before="480" w:after="0"/>
        <w:ind w:left="262" w:right="2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 al., 2022). The ISS relies exclusively on anatomical factors of injury, where a score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assigned to each body part affected by the injury. This assessment helps determine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appropriate medical measures based on the specific type of injury to the patient.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Although the ISS is effective in providing information on the severity of injuries, there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 obstacles in applying it to patients during primary surveys in the emergency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department. The process of calculating ISS scores takes time and details that may not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 available or practical for most patients with severe trauma. Therefore, it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recommended to calculate the ISS score within 24 hours after the patient enters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unit to limit their potential for triage utility (Farzan et al., 2022).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RTS consists of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the Glasgow Coma Score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(GCS), systolic blood pressure,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respiratory rate and has been shown to perform well in predicting trauma patient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outcomes. Studies show that RTS has a high sensitivity (100%) in predicting one-month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mortality and the highest specificity (97.22%) in predicting death from trauma. RTS is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critical tool in the medical world to predict the survival of injured patients.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Further research by (Farzan et al., 2022) affirmed that RTS, along with other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scoring systems, has helped clinicians identify patients who need priority treatment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prompt care. In addition, research by (ALVAREZ et al., 2016) shows that RTS is effective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predicting death, especially when the patient has an RTS score above seven, indicating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high survival probability. This reinforces the optimistic view of RTS as a reliable tool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making medical decisions in trauma situations.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Unlike the ISS, TRISS synthesizes injury mechanisms and physiological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anatomical factors to assess injury severity (Ahmad et al., 2022). TRISS involves factors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such as patient age, physiological response, and ISS scores in generating more holistic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predictions of prognosis. Although TRISS provides more comprehensive information,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does the ISS, calculating TRISS scores requires limited time and detail during a primary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survey in the emergency department. Therefore, it is recommended to calculate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TRISS score within 24 hours after the patient arrives at the trauma unit to maximize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benefits of triage (Mohammed et al., 2022).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a series of studies on evaluating injury severity assessment systems in trauma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patients, TRISS, ISS, and RTS are scores that are given special attention in predicting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mortality. The results showed that TRISS is often the top choice with a very high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predictive value, such as an AUC (Area Under the Curve) of about 0.923 to predict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mortality and an AUC of around 0.789 to predict the need for postoperative mechanical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ventilators (Yasa et al., 2023). Other studies confirmed the role of TRISS as a highly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 predictor in predicting mortality, with an AUC of 0.972, making it one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most accurate scores in assessing mortality risk in trauma patients (Patil et al., 2019).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However, results from several studies show variation in predictions between TRISS, ISS,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RTS, highlighting the importance of considering patient context and specific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population characteristics (Milton et al., 2021). The results also emphasize that TRISS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continues to be a valuable tool in the care of trauma patients. However, more research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needed to confirm these findings and understand their variability (Andara et al., 2022).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Some views differ in research, such as those conducted by (Mohammed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2022) and (Vorbeck et al.,2023), stating that the three trauma scores had no significant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difference in predicting the death of trauma patients. This view suggests that, in their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view, the selection of trauma scores becomes more flexible because all three can be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79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330</w:t>
      </w:r>
    </w:p>
    <w:p>
      <w:pPr>
        <w:sectPr>
          <w:pgSz w:w="11899" w:h="16819"/>
          <w:pgMar w:top="390" w:right="144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Fenny Tianda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Kumboyono Kumboyono Penulis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Suryanto Suryanto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3 </w:t>
      </w:r>
    </w:p>
    <w:p>
      <w:pPr>
        <w:autoSpaceDN w:val="0"/>
        <w:autoSpaceDE w:val="0"/>
        <w:widowControl/>
        <w:spacing w:line="197" w:lineRule="auto" w:before="726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used with similar results.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However, there are also different views, as stated by (Indurkar et al., 2023), which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 that although TRISS and RTS support each other in predicting death, the ISS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less supportive. It emphasizes that the role of the ISS is more limited in modeling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prognosis of trauma patients compared to the other two scores. This view highlights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advantages of TRISS in integrating aspects of anatomical injury and physiological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responses in the assessment of trauma patient prognosis. Different again, according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(ALVAREZ et al., 2016), in their research, emphasize the effectiveness of RTS in predicting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mortality, suggesting that each trauma score has its role and ability in modeling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patient's risk of death.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Overall, TRISS, ISS, and RTS are reliable scores in predicting mortality in trauma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patients. Although TRISS often excels in prediction accuracy, ISS and RTS remain relevant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clinical practice and can provide important information in managing trauma patient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care. The selection of the most appropriate score should be carefully considered based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patient characteristics and specific clinical context (Vorbeck et al., 2023).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context of application in the emergency room, these scores can be crucial in evaluating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managing trauma patients to improve treatment outcomes and reduce mortality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rates. </w:t>
      </w:r>
    </w:p>
    <w:p>
      <w:pPr>
        <w:autoSpaceDN w:val="0"/>
        <w:autoSpaceDE w:val="0"/>
        <w:widowControl/>
        <w:spacing w:line="245" w:lineRule="auto" w:before="54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More than 70% of trauma-related deaths in developing countries occur in the pre-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 stage, and the higher mortality rate in this study may be because the study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considered prehospital deaths (Yadollahi, 2019). The severity of injury or illness also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affects the mortality rate. Scores such as RTS, ISS, and TRISS assess severity and predict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mortality (Patil et al., 2019). The results of these systems help determine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appropriate type of treatment for patients, including whether they require mechanical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ventilators or other medical measures. Early evaluation and prompt action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emergency room are essential. However, patient death can occur both quickly after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injury and after some time, depending on various factors such as the severity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injury and the care provided. Although various trauma scoring systems are used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predict mortality, more research is needed to understand better the factors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influence trauma patient mortality in the ER.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two separate studies conducted (Yadollahi, 2019) and (Chiang et al., 2021), it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was revealed that a number of factors had a significant influence on the mortality rate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trauma patients admitted to the ER. The high mortality rate in emergency rooms has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significant impact on the health system. This creates a heavy burden on human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resources and medical facilities, increases stress on medical personnel who have to deal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critical situations, and negatively impacts patient and family satisfaction levels.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impact of Traffic and Road Transport (LLAJ) accident deaths is also significant,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including health care costs, lost work productivity, and rehabilitation costs (Irman,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2018). The use of trauma scores that can predict the death of trauma patients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emergency room plays a vital role in patient management and health outcomes.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relationship reflects the importance of quick and efficient treatment of trauma patients,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aiming to reduce mortality and improve the efficiency of care. </w:t>
      </w:r>
    </w:p>
    <w:p>
      <w:pPr>
        <w:autoSpaceDN w:val="0"/>
        <w:autoSpaceDE w:val="0"/>
        <w:widowControl/>
        <w:spacing w:line="245" w:lineRule="auto" w:before="52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high mortality rate in the emergency department also puts a burden on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system as well as a negative impact on patient satisfaction, family, and significant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economic aspects. Therefore, a deeper understanding of this relationship and the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107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331 </w:t>
      </w:r>
    </w:p>
    <w:p>
      <w:pPr>
        <w:sectPr>
          <w:pgSz w:w="11899" w:h="16819"/>
          <w:pgMar w:top="382" w:right="1440" w:bottom="3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228" w:right="144" w:hanging="428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Comparison of Sensitivity, Specificity and Accuracy of ISS, RTS, and TRISS Instruments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Predicting Mortality of Trauma Patients </w:t>
      </w:r>
    </w:p>
    <w:p>
      <w:pPr>
        <w:autoSpaceDN w:val="0"/>
        <w:autoSpaceDE w:val="0"/>
        <w:widowControl/>
        <w:spacing w:line="245" w:lineRule="auto" w:before="480" w:after="0"/>
        <w:ind w:left="262" w:right="21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implementation of an effective trauma scoring system can potentially reduce mortality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negative impacts on various aspects associated with trauma patients in the ER.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Studies have shown that there is a significant relationship between trauma scores, such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ISS, RTS, and TRISS, with predictions of trauma patient mortality in the Emergency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Department (Javali et al., 2019). Higher trauma scores, such as an increased ISS,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usually associated with an increased risk of patient death.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use of this trauma score provides excellent benefits for medical teams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evaluating the severity of injuries, forecasting prognosis, and making appropriate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 decisions for trauma patients in the ER. In critical medical situations, RTS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remains a relevant and valuable tool in the effort to save patients' lives ((ALVAREZ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2016); (Yuniar et al., 2021)). Using this information, medical teams can provide better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care and better suit patients' needs, hoping to reduce traumatic injury-related mortality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morbidity. Therefore, the use of trauma scores has become an effective tool in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effort to improve outcomes for trauma patients in the ER.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research was conducted at Inche Abdoel Moeis Regional General Hospital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(RSUD IA Moeis), which is a Samarinda City government hospital with a type c level.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 is adjacent to intercity access and is connected by toll roads. From the results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preliminary studies, it was found that the number of patients admitted in 2022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33,574 patients, with 906 trauma cases consisting of 49% open wound cases, 11% allergic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jury, 5% fracture, 9% corpus alenium, 5% superficial wounds, 7% contusions, 2% burns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the remaining 13% with multiple cases. At the same time, the average number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deaths is 5-6 patients/month.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mortality rate standard that has been set at the IA Moeis Hospital emergency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room based on the Minimum Service Standard (SPM) is less than 2/1000 in 1 year, while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data obtained by the emergency room, it gets a mortality rate of 2.3/1000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which means it exceeds SPM. To assess the quality of emergency room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 services, it is essential to pay attention to the time standards that have been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set. The standard patient stay in the ER is 6 hours, with care responsibilities continuing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the next 24 hours in preparation for the patient's hospitalization. In addition,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>hospital's NDR (</w:t>
      </w:r>
      <w:r>
        <w:rPr>
          <w:rFonts w:ascii="Calibri" w:hAnsi="Calibri" w:eastAsia="Calibri"/>
          <w:b w:val="0"/>
          <w:i/>
          <w:color w:val="000000"/>
          <w:sz w:val="24"/>
        </w:rPr>
        <w:t>Net Death Rate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) mortality rate is also evaluated within 48 hours after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patient receives services at the hospital.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Currently, IA Moeis Hospital does not use a particular trauma assessment system,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such as GCS, which is one of the trauma score assessments but is only used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awareness assessment. This points to the need for a more comprehensive trauma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assessment system to assist medical personnel in determining effective and efficient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death predictions. This phenomenon also aligns with the behavior pattern of people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seeking help at IA Moeis Hospital because of its strategic location in the Samarinda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Seberang area. Therefore, implementing an appropriate trauma assessment system 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provide significant benefits in optimizing patient mortality prediction and improving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overall health services at the emergency room of IA Moeis Hospital. </w:t>
      </w:r>
    </w:p>
    <w:p>
      <w:pPr>
        <w:autoSpaceDN w:val="0"/>
        <w:autoSpaceDE w:val="0"/>
        <w:widowControl/>
        <w:spacing w:line="245" w:lineRule="auto" w:before="54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description above, according to researchers, there is a need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corrective steps that must be taken by IA Moeis Hospital, one of which is to determine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use of severity assessment instruments on trauma that can be used to predict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death of patients in the emergency room. This severity assessment system can then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used as a fixed basis to improve the efficiency of time spent treating patients served in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79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332</w:t>
      </w:r>
    </w:p>
    <w:p>
      <w:pPr>
        <w:sectPr>
          <w:pgSz w:w="11899" w:h="16819"/>
          <w:pgMar w:top="390" w:right="144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Fenny Tianda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Kumboyono Kumboyono Penulis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Suryanto Suryanto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3 </w:t>
      </w:r>
    </w:p>
    <w:p>
      <w:pPr>
        <w:autoSpaceDN w:val="0"/>
        <w:autoSpaceDE w:val="0"/>
        <w:widowControl/>
        <w:spacing w:line="245" w:lineRule="auto" w:before="726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emergency room. Based on the description and existing phenomena, researchers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see an urgency in applying a trauma assessment system. Therefore, the author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conducted a study comparing the sensitivity, specificity, and accuracy of ISS, RTS,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TRISS instruments in predicting the mortality rate of trauma patients in the emergency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room of RSUD IA Moeis Samarinda at 6, 24, and 48 hours.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RESEARCH METHODOLOGY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study used a cross-sectional study approach with a diagnostic test research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design to compare the sensitivity, specificity, and accuracy of three trauma assessment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instruments: Injury Severity Score (ISS), Revised Trauma Score (RTS), and Trauma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Injury Severity Score (TRISS) in predicting the mortality rate of trauma patients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emergency room of IA Moeis Hospital Samarinda. Primary data was obtained from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patients who came to the emergency room of IA Moeis Hospital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January and March 2024. The study population consisted of all primary data of trauma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patients, but after the screening process, 166 patients met the inclusion criteria.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study sample was selected using non-probability sampling techniques, specifically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convenience/incidental sampling, where all trauma patients who met the research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criteria became part of the sample. Data was collected through observation sheets filled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out by researchers and enumerators, using online calculators to calculate trauma scores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(ISS, RTS, and TRISS). The data collection process is carried out by ensuring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completeness and suitability of the data, and the results are entered into an observation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table in the Excel program for further analysis.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processing begins with the pre-analysis stage, which involves checking,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identifying, tabulating, and cleansing the data. The data were then analyzed univariately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obtain a distribution of respondents' characteristics and bivariately to examine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relationships between certain variables. Analysis of diagnostic test data was performed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using the Reciever Operating Characteristics (ROC) statistical tool to measure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sensitivity, specificity, and accuracy of each trauma assessment instrument. Research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ethics are maintained by obtaining ethical permission from Universitas Brawijaya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following the principles of research ethics, such as respecting respondents' privacy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freedom, prioritising the good of respondents, maintaining justice, and maintaining data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confidentiality. Thus, the study not only contributes to the understanding of the trauma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assessment system but also maintains the integrity and security of data as well as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well-being of respondents. </w:t>
      </w:r>
    </w:p>
    <w:p>
      <w:pPr>
        <w:autoSpaceDN w:val="0"/>
        <w:tabs>
          <w:tab w:pos="2098" w:val="left"/>
        </w:tabs>
        <w:autoSpaceDE w:val="0"/>
        <w:widowControl/>
        <w:spacing w:line="245" w:lineRule="auto" w:before="1812" w:after="16"/>
        <w:ind w:left="262" w:right="2016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RESULTS AND DISCUSSION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Univariate Analysis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Frequency distribution of sample characteristics by age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Table 1. Distribution of sample frequency by age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006"/>
        <w:gridCol w:w="3006"/>
        <w:gridCol w:w="3006"/>
      </w:tblGrid>
      <w:tr>
        <w:trPr>
          <w:trHeight w:hRule="exact" w:val="294"/>
        </w:trPr>
        <w:tc>
          <w:tcPr>
            <w:tcW w:type="dxa" w:w="4112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76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Data </w:t>
            </w:r>
          </w:p>
        </w:tc>
        <w:tc>
          <w:tcPr>
            <w:tcW w:type="dxa" w:w="1844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Nilai </w:t>
            </w:r>
          </w:p>
        </w:tc>
        <w:tc>
          <w:tcPr>
            <w:tcW w:type="dxa" w:w="2824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56"/>
        </w:trPr>
        <w:tc>
          <w:tcPr>
            <w:tcW w:type="dxa" w:w="4112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52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5, May 2024 </w:t>
            </w:r>
          </w:p>
        </w:tc>
        <w:tc>
          <w:tcPr>
            <w:tcW w:type="dxa" w:w="1844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24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52" w:after="0"/>
              <w:ind w:left="0" w:right="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19"/>
          <w:pgMar w:top="382" w:right="1440" w:bottom="3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3289300</wp:posOffset>
            </wp:positionH>
            <wp:positionV relativeFrom="page">
              <wp:posOffset>6540500</wp:posOffset>
            </wp:positionV>
            <wp:extent cx="1371600" cy="20320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32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3290570</wp:posOffset>
            </wp:positionH>
            <wp:positionV relativeFrom="page">
              <wp:posOffset>6544309</wp:posOffset>
            </wp:positionV>
            <wp:extent cx="1366519" cy="205453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6519" cy="20545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3134360</wp:posOffset>
            </wp:positionH>
            <wp:positionV relativeFrom="page">
              <wp:posOffset>3942079</wp:posOffset>
            </wp:positionV>
            <wp:extent cx="297179" cy="1143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79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4502150</wp:posOffset>
            </wp:positionH>
            <wp:positionV relativeFrom="page">
              <wp:posOffset>4810760</wp:posOffset>
            </wp:positionV>
            <wp:extent cx="297179" cy="114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79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3746500</wp:posOffset>
            </wp:positionV>
            <wp:extent cx="1752600" cy="12065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06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430"/>
        <w:ind w:left="5228" w:right="144" w:hanging="428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Comparison of Sensitivity, Specificity and Accuracy of ISS, RTS, and TRISS Instruments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Predicting Mortality of Trauma Patients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88.0" w:type="dxa"/>
      </w:tblPr>
      <w:tblGrid>
        <w:gridCol w:w="4509"/>
        <w:gridCol w:w="4509"/>
      </w:tblGrid>
      <w:tr>
        <w:trPr>
          <w:trHeight w:hRule="exact" w:val="304"/>
        </w:trPr>
        <w:tc>
          <w:tcPr>
            <w:tcW w:type="dxa" w:w="18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Mean </w:t>
            </w:r>
          </w:p>
        </w:tc>
        <w:tc>
          <w:tcPr>
            <w:tcW w:type="dxa" w:w="18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3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40,12 </w:t>
            </w:r>
          </w:p>
        </w:tc>
      </w:tr>
      <w:tr>
        <w:trPr>
          <w:trHeight w:hRule="exact" w:val="304"/>
        </w:trPr>
        <w:tc>
          <w:tcPr>
            <w:tcW w:type="dxa" w:w="1844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Median </w:t>
            </w:r>
          </w:p>
        </w:tc>
        <w:tc>
          <w:tcPr>
            <w:tcW w:type="dxa" w:w="1844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38,5 </w:t>
            </w:r>
          </w:p>
        </w:tc>
      </w:tr>
      <w:tr>
        <w:trPr>
          <w:trHeight w:hRule="exact" w:val="302"/>
        </w:trPr>
        <w:tc>
          <w:tcPr>
            <w:tcW w:type="dxa" w:w="1844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Mode </w:t>
            </w:r>
          </w:p>
        </w:tc>
        <w:tc>
          <w:tcPr>
            <w:tcW w:type="dxa" w:w="1844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 </w:t>
            </w:r>
          </w:p>
        </w:tc>
      </w:tr>
      <w:tr>
        <w:trPr>
          <w:trHeight w:hRule="exact" w:val="306"/>
        </w:trPr>
        <w:tc>
          <w:tcPr>
            <w:tcW w:type="dxa" w:w="18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Std. Deviation </w:t>
            </w:r>
          </w:p>
        </w:tc>
        <w:tc>
          <w:tcPr>
            <w:tcW w:type="dxa" w:w="18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18,42 </w:t>
            </w:r>
          </w:p>
        </w:tc>
      </w:tr>
      <w:tr>
        <w:trPr>
          <w:trHeight w:hRule="exact" w:val="302"/>
        </w:trPr>
        <w:tc>
          <w:tcPr>
            <w:tcW w:type="dxa" w:w="18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Minimum </w:t>
            </w:r>
          </w:p>
        </w:tc>
        <w:tc>
          <w:tcPr>
            <w:tcW w:type="dxa" w:w="18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 </w:t>
            </w:r>
          </w:p>
        </w:tc>
      </w:tr>
      <w:tr>
        <w:trPr>
          <w:trHeight w:hRule="exact" w:val="302"/>
        </w:trPr>
        <w:tc>
          <w:tcPr>
            <w:tcW w:type="dxa" w:w="1844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Maximum </w:t>
            </w:r>
          </w:p>
        </w:tc>
        <w:tc>
          <w:tcPr>
            <w:tcW w:type="dxa" w:w="1844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89 </w:t>
            </w:r>
          </w:p>
        </w:tc>
      </w:tr>
    </w:tbl>
    <w:p>
      <w:pPr>
        <w:autoSpaceDN w:val="0"/>
        <w:tabs>
          <w:tab w:pos="828" w:val="left"/>
          <w:tab w:pos="2328" w:val="left"/>
        </w:tabs>
        <w:autoSpaceDE w:val="0"/>
        <w:widowControl/>
        <w:spacing w:line="245" w:lineRule="auto" w:before="46" w:after="0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table above, a descriptive statistical picture of the age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respondents is obtained. The average age recorded was 40.12 years, with a median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value of 38.5 years, and the highest mode was located at 17 years of age. A significant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standard deviation of 18.42 years indicates considerable variation in age data. The 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range, which ranged from 16 to 89 years, showed striking diversity in the sample. </w:t>
      </w:r>
    </w:p>
    <w:p>
      <w:pPr>
        <w:autoSpaceDN w:val="0"/>
        <w:autoSpaceDE w:val="0"/>
        <w:widowControl/>
        <w:spacing w:line="197" w:lineRule="auto" w:before="52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Frequency distribution of sample characteristics by sex </w:t>
      </w:r>
    </w:p>
    <w:p>
      <w:pPr>
        <w:autoSpaceDN w:val="0"/>
        <w:autoSpaceDE w:val="0"/>
        <w:widowControl/>
        <w:spacing w:line="197" w:lineRule="auto" w:before="640" w:after="0"/>
        <w:ind w:left="0" w:right="5074" w:firstLine="0"/>
        <w:jc w:val="right"/>
      </w:pPr>
      <w:r>
        <w:rPr>
          <w:rFonts w:ascii="Calibri" w:hAnsi="Calibri" w:eastAsia="Calibri"/>
          <w:b w:val="0"/>
          <w:i w:val="0"/>
          <w:color w:val="6B6B6B"/>
          <w:sz w:val="18"/>
        </w:rPr>
        <w:t>31,3%</w:t>
      </w:r>
    </w:p>
    <w:p>
      <w:pPr>
        <w:autoSpaceDN w:val="0"/>
        <w:autoSpaceDE w:val="0"/>
        <w:widowControl/>
        <w:spacing w:line="197" w:lineRule="auto" w:before="1188" w:after="0"/>
        <w:ind w:left="0" w:right="2920" w:firstLine="0"/>
        <w:jc w:val="right"/>
      </w:pPr>
      <w:r>
        <w:rPr>
          <w:rFonts w:ascii="Calibri" w:hAnsi="Calibri" w:eastAsia="Calibri"/>
          <w:b w:val="0"/>
          <w:i w:val="0"/>
          <w:color w:val="6B6B6B"/>
          <w:sz w:val="18"/>
        </w:rPr>
        <w:t>68,7%</w:t>
      </w:r>
    </w:p>
    <w:p>
      <w:pPr>
        <w:autoSpaceDN w:val="0"/>
        <w:tabs>
          <w:tab w:pos="4580" w:val="left"/>
        </w:tabs>
        <w:autoSpaceDE w:val="0"/>
        <w:widowControl/>
        <w:spacing w:line="197" w:lineRule="auto" w:before="144" w:after="0"/>
        <w:ind w:left="3670" w:right="0" w:firstLine="0"/>
        <w:jc w:val="left"/>
      </w:pPr>
      <w:r>
        <w:rPr>
          <w:rFonts w:ascii="Calibri" w:hAnsi="Calibri" w:eastAsia="Calibri"/>
          <w:b w:val="0"/>
          <w:i w:val="0"/>
          <w:color w:val="6B6B6B"/>
          <w:sz w:val="24"/>
        </w:rPr>
        <w:t xml:space="preserve">Man </w:t>
      </w:r>
      <w:r>
        <w:tab/>
      </w:r>
      <w:r>
        <w:rPr>
          <w:rFonts w:ascii="Calibri" w:hAnsi="Calibri" w:eastAsia="Calibri"/>
          <w:b w:val="0"/>
          <w:i w:val="0"/>
          <w:color w:val="6B6B6B"/>
          <w:sz w:val="24"/>
        </w:rPr>
        <w:t xml:space="preserve">Woman </w:t>
      </w:r>
    </w:p>
    <w:p>
      <w:pPr>
        <w:autoSpaceDN w:val="0"/>
        <w:tabs>
          <w:tab w:pos="4080" w:val="left"/>
        </w:tabs>
        <w:autoSpaceDE w:val="0"/>
        <w:widowControl/>
        <w:spacing w:line="245" w:lineRule="auto" w:before="146" w:after="0"/>
        <w:ind w:left="2328" w:right="38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Figure 1. </w:t>
      </w:r>
    </w:p>
    <w:p>
      <w:pPr>
        <w:autoSpaceDN w:val="0"/>
        <w:tabs>
          <w:tab w:pos="828" w:val="left"/>
          <w:tab w:pos="2476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Characteristics of respondents by gender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results of this study, there were 114 male sex groups (68.7%) and 52 female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(31.3%).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86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Frequency distribution of sample characteristics by type of trauma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on sample dissemination based on the type of trauma are as follows; </w:t>
      </w:r>
    </w:p>
    <w:p>
      <w:pPr>
        <w:autoSpaceDN w:val="0"/>
        <w:autoSpaceDE w:val="0"/>
        <w:widowControl/>
        <w:spacing w:line="197" w:lineRule="auto" w:before="320" w:after="0"/>
        <w:ind w:left="0" w:right="3424" w:firstLine="0"/>
        <w:jc w:val="right"/>
      </w:pPr>
      <w:r>
        <w:rPr>
          <w:rFonts w:ascii="Calibri" w:hAnsi="Calibri" w:eastAsia="Calibri"/>
          <w:b w:val="0"/>
          <w:i w:val="0"/>
          <w:color w:val="6B6B6B"/>
          <w:sz w:val="18"/>
        </w:rPr>
        <w:t>13%</w:t>
      </w:r>
    </w:p>
    <w:p>
      <w:pPr>
        <w:autoSpaceDN w:val="0"/>
        <w:autoSpaceDE w:val="0"/>
        <w:widowControl/>
        <w:spacing w:line="197" w:lineRule="auto" w:before="2350" w:after="0"/>
        <w:ind w:left="0" w:right="4668" w:firstLine="0"/>
        <w:jc w:val="right"/>
      </w:pPr>
      <w:r>
        <w:rPr>
          <w:rFonts w:ascii="Calibri" w:hAnsi="Calibri" w:eastAsia="Calibri"/>
          <w:b w:val="0"/>
          <w:i w:val="0"/>
          <w:color w:val="6B6B6B"/>
          <w:sz w:val="18"/>
        </w:rPr>
        <w:t>87%</w:t>
      </w:r>
    </w:p>
    <w:p>
      <w:pPr>
        <w:autoSpaceDN w:val="0"/>
        <w:tabs>
          <w:tab w:pos="5088" w:val="left"/>
        </w:tabs>
        <w:autoSpaceDE w:val="0"/>
        <w:widowControl/>
        <w:spacing w:line="197" w:lineRule="auto" w:before="92" w:after="0"/>
        <w:ind w:left="4238" w:right="0" w:firstLine="0"/>
        <w:jc w:val="left"/>
      </w:pPr>
      <w:r>
        <w:rPr>
          <w:rFonts w:ascii="Calibri" w:hAnsi="Calibri" w:eastAsia="Calibri"/>
          <w:b w:val="0"/>
          <w:i w:val="0"/>
          <w:color w:val="6B6B6B"/>
          <w:sz w:val="18"/>
        </w:rPr>
        <w:t xml:space="preserve">tembus </w:t>
      </w:r>
      <w:r>
        <w:tab/>
      </w:r>
      <w:r>
        <w:rPr>
          <w:rFonts w:ascii="Calibri" w:hAnsi="Calibri" w:eastAsia="Calibri"/>
          <w:b w:val="0"/>
          <w:i w:val="0"/>
          <w:color w:val="6B6B6B"/>
          <w:sz w:val="18"/>
        </w:rPr>
        <w:t>tumpul</w:t>
      </w:r>
    </w:p>
    <w:p>
      <w:pPr>
        <w:autoSpaceDN w:val="0"/>
        <w:tabs>
          <w:tab w:pos="4080" w:val="left"/>
        </w:tabs>
        <w:autoSpaceDE w:val="0"/>
        <w:widowControl/>
        <w:spacing w:line="245" w:lineRule="auto" w:before="286" w:after="0"/>
        <w:ind w:left="2328" w:right="38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Figure 2. </w:t>
      </w:r>
    </w:p>
    <w:p>
      <w:pPr>
        <w:autoSpaceDN w:val="0"/>
        <w:tabs>
          <w:tab w:pos="2082" w:val="left"/>
        </w:tabs>
        <w:autoSpaceDE w:val="0"/>
        <w:widowControl/>
        <w:spacing w:line="245" w:lineRule="auto" w:before="52" w:after="0"/>
        <w:ind w:left="828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Characteristics of respondents by type of trauma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highest distribution according to the type of trauma included in this study was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67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334</w:t>
      </w:r>
    </w:p>
    <w:p>
      <w:pPr>
        <w:sectPr>
          <w:pgSz w:w="11899" w:h="16819"/>
          <w:pgMar w:top="390" w:right="144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Fenny Tianda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Kumboyono Kumboyono Penulis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Suryanto Suryanto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3 </w:t>
      </w:r>
    </w:p>
    <w:p>
      <w:pPr>
        <w:autoSpaceDN w:val="0"/>
        <w:tabs>
          <w:tab w:pos="828" w:val="left"/>
          <w:tab w:pos="944" w:val="left"/>
        </w:tabs>
        <w:autoSpaceDE w:val="0"/>
        <w:widowControl/>
        <w:spacing w:line="245" w:lineRule="auto" w:before="726" w:after="6"/>
        <w:ind w:left="262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blunt trauma at 145 cases (87%) and penetrating trauma at 21 cases (13%).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Frequency distribution of sample characteristics based on patient condition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on sample distribution based on the patient's condition are as follows; </w:t>
      </w: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Table 2. Characteristics of respondents based on the patient's condition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38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864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1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Condition </w:t>
            </w:r>
          </w:p>
        </w:tc>
        <w:tc>
          <w:tcPr>
            <w:tcW w:type="dxa" w:w="1538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6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6 hours </w:t>
            </w:r>
          </w:p>
        </w:tc>
        <w:tc>
          <w:tcPr>
            <w:tcW w:type="dxa" w:w="1360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7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24 hours </w:t>
            </w:r>
          </w:p>
        </w:tc>
        <w:tc>
          <w:tcPr>
            <w:tcW w:type="dxa" w:w="1900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48 hours </w:t>
            </w:r>
          </w:p>
        </w:tc>
      </w:tr>
      <w:tr>
        <w:trPr>
          <w:trHeight w:hRule="exact" w:val="304"/>
        </w:trPr>
        <w:tc>
          <w:tcPr>
            <w:tcW w:type="dxa" w:w="1864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Alive </w:t>
            </w:r>
          </w:p>
        </w:tc>
        <w:tc>
          <w:tcPr>
            <w:tcW w:type="dxa" w:w="1538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6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117 </w:t>
            </w:r>
          </w:p>
        </w:tc>
        <w:tc>
          <w:tcPr>
            <w:tcW w:type="dxa" w:w="1360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2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115 </w:t>
            </w:r>
          </w:p>
        </w:tc>
        <w:tc>
          <w:tcPr>
            <w:tcW w:type="dxa" w:w="1900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107 </w:t>
            </w:r>
          </w:p>
        </w:tc>
      </w:tr>
      <w:tr>
        <w:trPr>
          <w:trHeight w:hRule="exact" w:val="358"/>
        </w:trPr>
        <w:tc>
          <w:tcPr>
            <w:tcW w:type="dxa" w:w="1864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Die </w:t>
            </w:r>
          </w:p>
        </w:tc>
        <w:tc>
          <w:tcPr>
            <w:tcW w:type="dxa" w:w="1538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7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49 </w:t>
            </w:r>
          </w:p>
        </w:tc>
        <w:tc>
          <w:tcPr>
            <w:tcW w:type="dxa" w:w="1360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4" w:after="0"/>
              <w:ind w:left="0" w:right="4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1900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59 </w:t>
            </w:r>
          </w:p>
        </w:tc>
      </w:tr>
      <w:tr>
        <w:trPr>
          <w:trHeight w:hRule="exact" w:val="402"/>
        </w:trPr>
        <w:tc>
          <w:tcPr>
            <w:tcW w:type="dxa" w:w="186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Total patients </w:t>
            </w:r>
          </w:p>
        </w:tc>
        <w:tc>
          <w:tcPr>
            <w:tcW w:type="dxa" w:w="15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6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166 </w:t>
            </w:r>
          </w:p>
        </w:tc>
        <w:tc>
          <w:tcPr>
            <w:tcW w:type="dxa" w:w="13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2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166 </w:t>
            </w:r>
          </w:p>
        </w:tc>
        <w:tc>
          <w:tcPr>
            <w:tcW w:type="dxa" w:w="19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166 </w:t>
            </w:r>
          </w:p>
        </w:tc>
      </w:tr>
    </w:tbl>
    <w:p>
      <w:pPr>
        <w:autoSpaceDN w:val="0"/>
        <w:tabs>
          <w:tab w:pos="828" w:val="left"/>
          <w:tab w:pos="2328" w:val="left"/>
        </w:tabs>
        <w:autoSpaceDE w:val="0"/>
        <w:widowControl/>
        <w:spacing w:line="245" w:lineRule="auto" w:before="50" w:after="0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distribution according to the condition of patients included in this study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died, namely at 6 hours by 49 patients (29.5%) and lived 117 patients (70.5%),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 24 hours by 51 patients (30.7%) and lived 115 patients (69.3%), and at 48 hours by 59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(35.5%) and lived 107 patients (64.5%).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15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Frequency Distribution of Trauma Scores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average and median values in the study are ISS, RTS, and TRISS, as shown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table. </w:t>
      </w:r>
    </w:p>
    <w:p>
      <w:pPr>
        <w:autoSpaceDN w:val="0"/>
        <w:autoSpaceDE w:val="0"/>
        <w:widowControl/>
        <w:spacing w:line="197" w:lineRule="auto" w:before="52" w:after="2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Table 3. Trauma score frequency scores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92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16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ISS Value </w:t>
            </w:r>
          </w:p>
        </w:tc>
        <w:tc>
          <w:tcPr>
            <w:tcW w:type="dxa" w:w="131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8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RTS Value </w:t>
            </w:r>
          </w:p>
        </w:tc>
        <w:tc>
          <w:tcPr>
            <w:tcW w:type="dxa" w:w="14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TRISS Value </w:t>
            </w:r>
          </w:p>
        </w:tc>
      </w:tr>
      <w:tr>
        <w:trPr>
          <w:trHeight w:hRule="exact" w:val="306"/>
        </w:trPr>
        <w:tc>
          <w:tcPr>
            <w:tcW w:type="dxa" w:w="16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Mean </w:t>
            </w:r>
          </w:p>
        </w:tc>
        <w:tc>
          <w:tcPr>
            <w:tcW w:type="dxa" w:w="11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22,23 </w:t>
            </w:r>
          </w:p>
        </w:tc>
        <w:tc>
          <w:tcPr>
            <w:tcW w:type="dxa" w:w="131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6,57 </w:t>
            </w:r>
          </w:p>
        </w:tc>
        <w:tc>
          <w:tcPr>
            <w:tcW w:type="dxa" w:w="14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0,80 </w:t>
            </w:r>
          </w:p>
        </w:tc>
      </w:tr>
      <w:tr>
        <w:trPr>
          <w:trHeight w:hRule="exact" w:val="304"/>
        </w:trPr>
        <w:tc>
          <w:tcPr>
            <w:tcW w:type="dxa" w:w="16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Median </w:t>
            </w:r>
          </w:p>
        </w:tc>
        <w:tc>
          <w:tcPr>
            <w:tcW w:type="dxa" w:w="11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31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7,84 </w:t>
            </w:r>
          </w:p>
        </w:tc>
        <w:tc>
          <w:tcPr>
            <w:tcW w:type="dxa" w:w="14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0,989 </w:t>
            </w:r>
          </w:p>
        </w:tc>
      </w:tr>
      <w:tr>
        <w:trPr>
          <w:trHeight w:hRule="exact" w:val="302"/>
        </w:trPr>
        <w:tc>
          <w:tcPr>
            <w:tcW w:type="dxa" w:w="16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Mode </w:t>
            </w:r>
          </w:p>
        </w:tc>
        <w:tc>
          <w:tcPr>
            <w:tcW w:type="dxa" w:w="11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48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31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7,84 </w:t>
            </w:r>
          </w:p>
        </w:tc>
        <w:tc>
          <w:tcPr>
            <w:tcW w:type="dxa" w:w="14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0,996 </w:t>
            </w:r>
          </w:p>
        </w:tc>
      </w:tr>
      <w:tr>
        <w:trPr>
          <w:trHeight w:hRule="exact" w:val="304"/>
        </w:trPr>
        <w:tc>
          <w:tcPr>
            <w:tcW w:type="dxa" w:w="16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Std. Deviation </w:t>
            </w:r>
          </w:p>
        </w:tc>
        <w:tc>
          <w:tcPr>
            <w:tcW w:type="dxa" w:w="11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23,43 </w:t>
            </w:r>
          </w:p>
        </w:tc>
        <w:tc>
          <w:tcPr>
            <w:tcW w:type="dxa" w:w="131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1,85 </w:t>
            </w:r>
          </w:p>
        </w:tc>
        <w:tc>
          <w:tcPr>
            <w:tcW w:type="dxa" w:w="14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0,274 </w:t>
            </w:r>
          </w:p>
        </w:tc>
      </w:tr>
      <w:tr>
        <w:trPr>
          <w:trHeight w:hRule="exact" w:val="304"/>
        </w:trPr>
        <w:tc>
          <w:tcPr>
            <w:tcW w:type="dxa" w:w="1688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Skewness </w:t>
            </w:r>
          </w:p>
        </w:tc>
        <w:tc>
          <w:tcPr>
            <w:tcW w:type="dxa" w:w="1194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1,204 </w:t>
            </w:r>
          </w:p>
        </w:tc>
        <w:tc>
          <w:tcPr>
            <w:tcW w:type="dxa" w:w="1314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-1,295 </w:t>
            </w:r>
          </w:p>
        </w:tc>
        <w:tc>
          <w:tcPr>
            <w:tcW w:type="dxa" w:w="1444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-1,197 </w:t>
            </w:r>
          </w:p>
        </w:tc>
      </w:tr>
      <w:tr>
        <w:trPr>
          <w:trHeight w:hRule="exact" w:val="302"/>
        </w:trPr>
        <w:tc>
          <w:tcPr>
            <w:tcW w:type="dxa" w:w="1688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Kurtosis </w:t>
            </w:r>
          </w:p>
        </w:tc>
        <w:tc>
          <w:tcPr>
            <w:tcW w:type="dxa" w:w="1194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0,313 </w:t>
            </w:r>
          </w:p>
        </w:tc>
        <w:tc>
          <w:tcPr>
            <w:tcW w:type="dxa" w:w="1314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0,555 </w:t>
            </w:r>
          </w:p>
        </w:tc>
        <w:tc>
          <w:tcPr>
            <w:tcW w:type="dxa" w:w="1444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0,145 </w:t>
            </w:r>
          </w:p>
        </w:tc>
      </w:tr>
      <w:tr>
        <w:trPr>
          <w:trHeight w:hRule="exact" w:val="304"/>
        </w:trPr>
        <w:tc>
          <w:tcPr>
            <w:tcW w:type="dxa" w:w="1688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Minimum </w:t>
            </w:r>
          </w:p>
        </w:tc>
        <w:tc>
          <w:tcPr>
            <w:tcW w:type="dxa" w:w="119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48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31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1,31 </w:t>
            </w:r>
          </w:p>
        </w:tc>
        <w:tc>
          <w:tcPr>
            <w:tcW w:type="dxa" w:w="144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0,106 </w:t>
            </w:r>
          </w:p>
        </w:tc>
      </w:tr>
      <w:tr>
        <w:trPr>
          <w:trHeight w:hRule="exact" w:val="304"/>
        </w:trPr>
        <w:tc>
          <w:tcPr>
            <w:tcW w:type="dxa" w:w="16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Maximum </w:t>
            </w:r>
          </w:p>
        </w:tc>
        <w:tc>
          <w:tcPr>
            <w:tcW w:type="dxa" w:w="11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131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7,84 </w:t>
            </w:r>
          </w:p>
        </w:tc>
        <w:tc>
          <w:tcPr>
            <w:tcW w:type="dxa" w:w="14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0,998 </w:t>
            </w:r>
          </w:p>
        </w:tc>
      </w:tr>
    </w:tbl>
    <w:p>
      <w:pPr>
        <w:autoSpaceDN w:val="0"/>
        <w:tabs>
          <w:tab w:pos="828" w:val="left"/>
          <w:tab w:pos="1822" w:val="left"/>
        </w:tabs>
        <w:autoSpaceDE w:val="0"/>
        <w:widowControl/>
        <w:spacing w:line="245" w:lineRule="auto" w:before="46" w:after="0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The table above shows the distribution of trauma score values based on the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Severity Injury Score (ISS), Revised Trauma Score (RTS), and Trauma and Injury Severity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Score (TRISS) indices. The ISS average was recorded at 22.23 with a median of 10 and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mode 4, indicating significant variation in injury severity, supported by positive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skewness values (1.204) and slightly tapered kurtosis (0.313). RTS has an average of 6.57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with a median of 7.84 and a mode of 7.84, indicating the concentration of data on a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particular RTS value, with negative skewness (-1.295), indicating a longer distribution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tail on the left side and kurtosis (0.555) indicating a lower and wider distribution peak.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TRISS showed an average of 0.80 with a median of 0.989 and a mode of 0.996, indicating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variation in injury severity, with skewness (-1.197) indicating a longer distribution tail on </w:t>
      </w:r>
      <w:r>
        <w:rPr>
          <w:rFonts w:ascii="Calibri" w:hAnsi="Calibri" w:eastAsia="Calibri"/>
          <w:b w:val="0"/>
          <w:i w:val="0"/>
          <w:color w:val="0E0E0E"/>
          <w:sz w:val="24"/>
        </w:rPr>
        <w:t>the left side and kurtosis values not available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2380" w:val="left"/>
        </w:tabs>
        <w:autoSpaceDE w:val="0"/>
        <w:widowControl/>
        <w:spacing w:line="245" w:lineRule="auto" w:before="448" w:after="18"/>
        <w:ind w:left="262" w:right="230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Bivariate Analysis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Test Normality data Trauma score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Table 4. Trauma Score Data Normality Test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5"/>
        </w:trPr>
        <w:tc>
          <w:tcPr>
            <w:tcW w:type="dxa" w:w="42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64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Trauma Score </w:t>
            </w:r>
          </w:p>
        </w:tc>
        <w:tc>
          <w:tcPr>
            <w:tcW w:type="dxa" w:w="75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7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df </w:t>
            </w:r>
          </w:p>
        </w:tc>
        <w:tc>
          <w:tcPr>
            <w:tcW w:type="dxa" w:w="179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8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Sig. </w:t>
            </w:r>
          </w:p>
        </w:tc>
        <w:tc>
          <w:tcPr>
            <w:tcW w:type="dxa" w:w="201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2"/>
        </w:trPr>
        <w:tc>
          <w:tcPr>
            <w:tcW w:type="dxa" w:w="42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5, May 2024 </w:t>
            </w:r>
          </w:p>
        </w:tc>
        <w:tc>
          <w:tcPr>
            <w:tcW w:type="dxa" w:w="75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9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1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8" w:after="0"/>
              <w:ind w:left="0" w:right="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19"/>
          <w:pgMar w:top="382" w:right="1440" w:bottom="3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5" w:lineRule="auto" w:before="0" w:after="430"/>
        <w:ind w:left="5228" w:right="144" w:hanging="428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Comparison of Sensitivity, Specificity and Accuracy of ISS, RTS, and TRISS Instruments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Predicting Mortality of Trauma Patients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36.0" w:type="dxa"/>
      </w:tblPr>
      <w:tblGrid>
        <w:gridCol w:w="3006"/>
        <w:gridCol w:w="3006"/>
        <w:gridCol w:w="3006"/>
      </w:tblGrid>
      <w:tr>
        <w:trPr>
          <w:trHeight w:hRule="exact" w:val="304"/>
        </w:trPr>
        <w:tc>
          <w:tcPr>
            <w:tcW w:type="dxa" w:w="153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5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ISS </w:t>
            </w:r>
          </w:p>
        </w:tc>
        <w:tc>
          <w:tcPr>
            <w:tcW w:type="dxa" w:w="142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166 </w:t>
            </w:r>
          </w:p>
        </w:tc>
        <w:tc>
          <w:tcPr>
            <w:tcW w:type="dxa" w:w="1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&lt;0,001 </w:t>
            </w:r>
          </w:p>
        </w:tc>
      </w:tr>
      <w:tr>
        <w:trPr>
          <w:trHeight w:hRule="exact" w:val="300"/>
        </w:trPr>
        <w:tc>
          <w:tcPr>
            <w:tcW w:type="dxa" w:w="153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RTS </w:t>
            </w:r>
          </w:p>
        </w:tc>
        <w:tc>
          <w:tcPr>
            <w:tcW w:type="dxa" w:w="142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166 </w:t>
            </w:r>
          </w:p>
        </w:tc>
        <w:tc>
          <w:tcPr>
            <w:tcW w:type="dxa" w:w="1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&lt;0,001 </w:t>
            </w:r>
          </w:p>
        </w:tc>
      </w:tr>
      <w:tr>
        <w:trPr>
          <w:trHeight w:hRule="exact" w:val="306"/>
        </w:trPr>
        <w:tc>
          <w:tcPr>
            <w:tcW w:type="dxa" w:w="153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TRISS </w:t>
            </w:r>
          </w:p>
        </w:tc>
        <w:tc>
          <w:tcPr>
            <w:tcW w:type="dxa" w:w="142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166 </w:t>
            </w:r>
          </w:p>
        </w:tc>
        <w:tc>
          <w:tcPr>
            <w:tcW w:type="dxa" w:w="1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&lt;0,001 </w:t>
            </w:r>
          </w:p>
        </w:tc>
      </w:tr>
    </w:tbl>
    <w:p>
      <w:pPr>
        <w:autoSpaceDN w:val="0"/>
        <w:tabs>
          <w:tab w:pos="828" w:val="left"/>
          <w:tab w:pos="2106" w:val="left"/>
        </w:tabs>
        <w:autoSpaceDE w:val="0"/>
        <w:widowControl/>
        <w:spacing w:line="245" w:lineRule="auto" w:before="48" w:after="0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results of the normality test of trauma score data, measured through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Severity Injury Score (ISS), Revised Trauma Score (RTS), and Trauma and Injury Severity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Score (TRISS) indices, show that the distribution of values for all variables does not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follow the normal distribution (p &lt; 0.001 for all variables), as indicated by the results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Kolmogorov-Smirnov test. Therefore, Spearman's rho non-parametric test was used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analyze the relationship between these variables. </w:t>
      </w:r>
    </w:p>
    <w:p>
      <w:pPr>
        <w:autoSpaceDN w:val="0"/>
        <w:tabs>
          <w:tab w:pos="2798" w:val="left"/>
        </w:tabs>
        <w:autoSpaceDE w:val="0"/>
        <w:widowControl/>
        <w:spacing w:line="245" w:lineRule="auto" w:before="54" w:after="6"/>
        <w:ind w:left="262" w:right="2736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Non Parametric Test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Table 5. Results of Spearman's rho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02"/>
        </w:trPr>
        <w:tc>
          <w:tcPr>
            <w:tcW w:type="dxa" w:w="1480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Trauma Score </w:t>
            </w:r>
          </w:p>
        </w:tc>
        <w:tc>
          <w:tcPr>
            <w:tcW w:type="dxa" w:w="1540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Value </w:t>
            </w:r>
          </w:p>
        </w:tc>
        <w:tc>
          <w:tcPr>
            <w:tcW w:type="dxa" w:w="1206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58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514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1482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48 </w:t>
            </w:r>
          </w:p>
        </w:tc>
      </w:tr>
      <w:tr>
        <w:trPr>
          <w:trHeight w:hRule="exact" w:val="316"/>
        </w:trPr>
        <w:tc>
          <w:tcPr>
            <w:tcW w:type="dxa" w:w="1480"/>
            <w:vMerge w:val="restart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4" w:after="0"/>
              <w:ind w:left="0" w:right="5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ISS </w:t>
            </w:r>
          </w:p>
        </w:tc>
        <w:tc>
          <w:tcPr>
            <w:tcW w:type="dxa" w:w="154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Cooefisien </w:t>
            </w:r>
          </w:p>
        </w:tc>
        <w:tc>
          <w:tcPr>
            <w:tcW w:type="dxa" w:w="1206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2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0,729 </w:t>
            </w:r>
          </w:p>
        </w:tc>
        <w:tc>
          <w:tcPr>
            <w:tcW w:type="dxa" w:w="1514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0,748 </w:t>
            </w:r>
          </w:p>
        </w:tc>
        <w:tc>
          <w:tcPr>
            <w:tcW w:type="dxa" w:w="1482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0,803 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Colleration </w:t>
            </w:r>
          </w:p>
        </w:tc>
        <w:tc>
          <w:tcPr>
            <w:tcW w:type="dxa" w:w="1804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804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804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206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&lt;0,001 </w:t>
            </w:r>
          </w:p>
        </w:tc>
        <w:tc>
          <w:tcPr>
            <w:tcW w:type="dxa" w:w="151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&lt;0,001 </w:t>
            </w:r>
          </w:p>
        </w:tc>
        <w:tc>
          <w:tcPr>
            <w:tcW w:type="dxa" w:w="1482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&lt;0,001 </w:t>
            </w:r>
          </w:p>
        </w:tc>
      </w:tr>
      <w:tr>
        <w:trPr>
          <w:trHeight w:hRule="exact" w:val="296"/>
        </w:trPr>
        <w:tc>
          <w:tcPr>
            <w:tcW w:type="dxa" w:w="1804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Sig. (2-tailed) </w:t>
            </w:r>
          </w:p>
        </w:tc>
        <w:tc>
          <w:tcPr>
            <w:tcW w:type="dxa" w:w="1804"/>
            <w:vMerge/>
            <w:tcBorders>
              <w:bottom w:sz="4.0" w:val="single" w:color="#000000"/>
            </w:tcBorders>
          </w:tcPr>
          <w:p/>
        </w:tc>
        <w:tc>
          <w:tcPr>
            <w:tcW w:type="dxa" w:w="1804"/>
            <w:vMerge/>
            <w:tcBorders>
              <w:bottom w:sz="4.0" w:val="single" w:color="#000000"/>
            </w:tcBorders>
          </w:tcPr>
          <w:p/>
        </w:tc>
        <w:tc>
          <w:tcPr>
            <w:tcW w:type="dxa" w:w="1804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04"/>
        </w:trPr>
        <w:tc>
          <w:tcPr>
            <w:tcW w:type="dxa" w:w="148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8" w:after="0"/>
              <w:ind w:left="0" w:right="48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RTS </w:t>
            </w:r>
          </w:p>
        </w:tc>
        <w:tc>
          <w:tcPr>
            <w:tcW w:type="dxa" w:w="15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Cooefisien </w:t>
            </w:r>
          </w:p>
        </w:tc>
        <w:tc>
          <w:tcPr>
            <w:tcW w:type="dxa" w:w="1206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8" w:after="0"/>
              <w:ind w:left="2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-0,799 </w:t>
            </w:r>
          </w:p>
        </w:tc>
        <w:tc>
          <w:tcPr>
            <w:tcW w:type="dxa" w:w="151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-0,811 </w:t>
            </w:r>
          </w:p>
        </w:tc>
        <w:tc>
          <w:tcPr>
            <w:tcW w:type="dxa" w:w="1482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-0,908 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Colleration </w:t>
            </w:r>
          </w:p>
        </w:tc>
        <w:tc>
          <w:tcPr>
            <w:tcW w:type="dxa" w:w="1804"/>
            <w:vMerge/>
            <w:tcBorders>
              <w:top w:sz="4.0" w:val="single" w:color="#000000"/>
            </w:tcBorders>
          </w:tcPr>
          <w:p/>
        </w:tc>
        <w:tc>
          <w:tcPr>
            <w:tcW w:type="dxa" w:w="1804"/>
            <w:vMerge/>
            <w:tcBorders>
              <w:top w:sz="4.0" w:val="single" w:color="#000000"/>
            </w:tcBorders>
          </w:tcPr>
          <w:p/>
        </w:tc>
        <w:tc>
          <w:tcPr>
            <w:tcW w:type="dxa" w:w="1804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206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1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&lt;0,001 </w:t>
            </w:r>
          </w:p>
        </w:tc>
        <w:tc>
          <w:tcPr>
            <w:tcW w:type="dxa" w:w="151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&lt;0,001 </w:t>
            </w:r>
          </w:p>
        </w:tc>
        <w:tc>
          <w:tcPr>
            <w:tcW w:type="dxa" w:w="1482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&lt;0,001 </w:t>
            </w:r>
          </w:p>
        </w:tc>
      </w:tr>
      <w:tr>
        <w:trPr>
          <w:trHeight w:hRule="exact" w:val="282"/>
        </w:trPr>
        <w:tc>
          <w:tcPr>
            <w:tcW w:type="dxa" w:w="1804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5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Sig. (2-tailed) </w:t>
            </w:r>
          </w:p>
        </w:tc>
        <w:tc>
          <w:tcPr>
            <w:tcW w:type="dxa" w:w="1804"/>
            <w:vMerge/>
            <w:tcBorders>
              <w:bottom w:sz="4.0" w:val="single" w:color="#000000"/>
            </w:tcBorders>
          </w:tcPr>
          <w:p/>
        </w:tc>
        <w:tc>
          <w:tcPr>
            <w:tcW w:type="dxa" w:w="1804"/>
            <w:vMerge/>
            <w:tcBorders>
              <w:bottom w:sz="4.0" w:val="single" w:color="#000000"/>
            </w:tcBorders>
          </w:tcPr>
          <w:p/>
        </w:tc>
        <w:tc>
          <w:tcPr>
            <w:tcW w:type="dxa" w:w="1804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18"/>
        </w:trPr>
        <w:tc>
          <w:tcPr>
            <w:tcW w:type="dxa" w:w="148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0" w:after="0"/>
              <w:ind w:left="0" w:right="4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TRISS </w:t>
            </w:r>
          </w:p>
        </w:tc>
        <w:tc>
          <w:tcPr>
            <w:tcW w:type="dxa" w:w="15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Cooefisien </w:t>
            </w:r>
          </w:p>
        </w:tc>
        <w:tc>
          <w:tcPr>
            <w:tcW w:type="dxa" w:w="1206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1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-0,734 </w:t>
            </w:r>
          </w:p>
        </w:tc>
        <w:tc>
          <w:tcPr>
            <w:tcW w:type="dxa" w:w="151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-0,737 </w:t>
            </w:r>
          </w:p>
        </w:tc>
        <w:tc>
          <w:tcPr>
            <w:tcW w:type="dxa" w:w="1482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-0,808 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Colleration </w:t>
            </w:r>
          </w:p>
        </w:tc>
        <w:tc>
          <w:tcPr>
            <w:tcW w:type="dxa" w:w="1804"/>
            <w:vMerge/>
            <w:tcBorders>
              <w:top w:sz="4.0" w:val="single" w:color="#000000"/>
            </w:tcBorders>
          </w:tcPr>
          <w:p/>
        </w:tc>
        <w:tc>
          <w:tcPr>
            <w:tcW w:type="dxa" w:w="1804"/>
            <w:vMerge/>
            <w:tcBorders>
              <w:top w:sz="4.0" w:val="single" w:color="#000000"/>
            </w:tcBorders>
          </w:tcPr>
          <w:p/>
        </w:tc>
        <w:tc>
          <w:tcPr>
            <w:tcW w:type="dxa" w:w="1804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206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&lt;0,001 </w:t>
            </w:r>
          </w:p>
        </w:tc>
        <w:tc>
          <w:tcPr>
            <w:tcW w:type="dxa" w:w="151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&lt;0,001 </w:t>
            </w:r>
          </w:p>
        </w:tc>
        <w:tc>
          <w:tcPr>
            <w:tcW w:type="dxa" w:w="1482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&lt;0,001 </w:t>
            </w:r>
          </w:p>
        </w:tc>
      </w:tr>
      <w:tr>
        <w:trPr>
          <w:trHeight w:hRule="exact" w:val="292"/>
        </w:trPr>
        <w:tc>
          <w:tcPr>
            <w:tcW w:type="dxa" w:w="1804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5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Sig. (2-tailed) </w:t>
            </w:r>
          </w:p>
        </w:tc>
        <w:tc>
          <w:tcPr>
            <w:tcW w:type="dxa" w:w="1804"/>
            <w:vMerge/>
            <w:tcBorders>
              <w:bottom w:sz="4.0" w:val="single" w:color="#000000"/>
            </w:tcBorders>
          </w:tcPr>
          <w:p/>
        </w:tc>
        <w:tc>
          <w:tcPr>
            <w:tcW w:type="dxa" w:w="1804"/>
            <w:vMerge/>
            <w:tcBorders>
              <w:bottom w:sz="4.0" w:val="single" w:color="#000000"/>
            </w:tcBorders>
          </w:tcPr>
          <w:p/>
        </w:tc>
        <w:tc>
          <w:tcPr>
            <w:tcW w:type="dxa" w:w="1804"/>
            <w:vMerge/>
            <w:tcBorders>
              <w:bottom w:sz="4.0" w:val="single" w:color="#000000"/>
            </w:tcBorders>
          </w:tcPr>
          <w:p/>
        </w:tc>
      </w:tr>
    </w:tbl>
    <w:p>
      <w:pPr>
        <w:autoSpaceDN w:val="0"/>
        <w:tabs>
          <w:tab w:pos="828" w:val="left"/>
          <w:tab w:pos="1572" w:val="left"/>
        </w:tabs>
        <w:autoSpaceDE w:val="0"/>
        <w:widowControl/>
        <w:spacing w:line="245" w:lineRule="auto" w:before="50" w:after="0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results of the Spearman's rho correlation test showed that there was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positively strong relationship between the ISS trauma score value and the patient's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condition (6 hours, 24 hours, and 48 hours after the trauma event), with the correlation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coefficient ranging from 0.729 to 0.803. On the other hand, RTS and TRISS showed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robust and negatively significant association with the patient's condition, with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correlation coefficient ranging from -0.799 to -0.908. </w:t>
      </w:r>
    </w:p>
    <w:p>
      <w:pPr>
        <w:autoSpaceDN w:val="0"/>
        <w:tabs>
          <w:tab w:pos="2822" w:val="left"/>
        </w:tabs>
        <w:autoSpaceDE w:val="0"/>
        <w:widowControl/>
        <w:spacing w:line="245" w:lineRule="auto" w:before="344" w:after="4"/>
        <w:ind w:left="262" w:right="2736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Analysis Diagnostic tests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Cut-off Point, ROC, AUC ISS, RTS, and TRISS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Table 6. Cut-off points Instrument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38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185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Cut off points </w:t>
            </w:r>
          </w:p>
        </w:tc>
        <w:tc>
          <w:tcPr>
            <w:tcW w:type="dxa" w:w="114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57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12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116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48 </w:t>
            </w:r>
          </w:p>
        </w:tc>
      </w:tr>
      <w:tr>
        <w:trPr>
          <w:trHeight w:hRule="exact" w:val="304"/>
        </w:trPr>
        <w:tc>
          <w:tcPr>
            <w:tcW w:type="dxa" w:w="185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TRIISS </w:t>
            </w:r>
          </w:p>
        </w:tc>
        <w:tc>
          <w:tcPr>
            <w:tcW w:type="dxa" w:w="114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34,5 </w:t>
            </w:r>
          </w:p>
        </w:tc>
        <w:tc>
          <w:tcPr>
            <w:tcW w:type="dxa" w:w="12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30,5 </w:t>
            </w:r>
          </w:p>
        </w:tc>
        <w:tc>
          <w:tcPr>
            <w:tcW w:type="dxa" w:w="116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22,5 </w:t>
            </w:r>
          </w:p>
        </w:tc>
      </w:tr>
      <w:tr>
        <w:trPr>
          <w:trHeight w:hRule="exact" w:val="346"/>
        </w:trPr>
        <w:tc>
          <w:tcPr>
            <w:tcW w:type="dxa" w:w="185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0" w:right="79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ISS </w:t>
            </w:r>
          </w:p>
        </w:tc>
        <w:tc>
          <w:tcPr>
            <w:tcW w:type="dxa" w:w="114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40,5 </w:t>
            </w:r>
          </w:p>
        </w:tc>
        <w:tc>
          <w:tcPr>
            <w:tcW w:type="dxa" w:w="1220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40,5 </w:t>
            </w:r>
          </w:p>
        </w:tc>
        <w:tc>
          <w:tcPr>
            <w:tcW w:type="dxa" w:w="116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40,5 </w:t>
            </w:r>
          </w:p>
        </w:tc>
      </w:tr>
      <w:tr>
        <w:trPr>
          <w:trHeight w:hRule="exact" w:val="370"/>
        </w:trPr>
        <w:tc>
          <w:tcPr>
            <w:tcW w:type="dxa" w:w="185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0" w:right="75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RTS </w:t>
            </w:r>
          </w:p>
        </w:tc>
        <w:tc>
          <w:tcPr>
            <w:tcW w:type="dxa" w:w="114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5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1220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116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97" w:lineRule="auto" w:before="48" w:after="0"/>
        <w:ind w:left="19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257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336</w:t>
      </w:r>
    </w:p>
    <w:p>
      <w:pPr>
        <w:sectPr>
          <w:pgSz w:w="11899" w:h="16819"/>
          <w:pgMar w:top="390" w:right="144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Fenny Tianda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Kumboyono Kumboyono Penulis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Suryanto Suryanto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3 </w:t>
      </w:r>
    </w:p>
    <w:p>
      <w:pPr>
        <w:autoSpaceDN w:val="0"/>
        <w:autoSpaceDE w:val="0"/>
        <w:widowControl/>
        <w:spacing w:line="245" w:lineRule="auto" w:before="726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table above presents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cut-off points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three instruments, namely TRIISS, ISS,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RTS, at three different time intervals, namely the 6th, 24th, and 48th hours after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trauma event. The TRIISS instrument has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cut-off points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each timeframe,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values of 34.5, 30.5, and 22.5, respectively. Meanwhile, the ISS has a fixed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cut-off point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each period, which is 40.5. RTS also has constant cut-off points on all timeframes,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is 7.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54629" cy="19951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4629" cy="199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4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Figure 3. </w:t>
      </w:r>
    </w:p>
    <w:p>
      <w:pPr>
        <w:autoSpaceDN w:val="0"/>
        <w:autoSpaceDE w:val="0"/>
        <w:widowControl/>
        <w:spacing w:line="197" w:lineRule="auto" w:before="56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ROC hour to 6 </w:t>
      </w:r>
    </w:p>
    <w:p>
      <w:pPr>
        <w:autoSpaceDN w:val="0"/>
        <w:autoSpaceDE w:val="0"/>
        <w:widowControl/>
        <w:spacing w:line="245" w:lineRule="auto" w:before="14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6th hour ROC, ISS, RTS, and TRISS graphs above, it can be seen that it has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model with high sensitivity and specificity in the upper left corner of the plot.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shows that the model can predict the mortality rate in trauma patients well. </w:t>
      </w:r>
    </w:p>
    <w:p>
      <w:pPr>
        <w:autoSpaceDN w:val="0"/>
        <w:autoSpaceDE w:val="0"/>
        <w:widowControl/>
        <w:spacing w:line="240" w:lineRule="auto" w:before="2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059430" cy="22186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218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42" w:after="0"/>
        <w:ind w:left="0" w:right="388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</w:p>
    <w:p>
      <w:pPr>
        <w:autoSpaceDN w:val="0"/>
        <w:autoSpaceDE w:val="0"/>
        <w:widowControl/>
        <w:spacing w:line="197" w:lineRule="auto" w:before="12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Figure 4. </w:t>
      </w:r>
    </w:p>
    <w:p>
      <w:pPr>
        <w:autoSpaceDN w:val="0"/>
        <w:tabs>
          <w:tab w:pos="828" w:val="left"/>
          <w:tab w:pos="3754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ROC hour to 24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24-hour ROC, ISS, RTS, and TRISS graphs above, it can be seen that it has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model with high sensitivity and specificity in the upper left corner of the plot.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shows that the model can predict the mortality rate in trauma patients well.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143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337 </w:t>
      </w:r>
    </w:p>
    <w:p>
      <w:pPr>
        <w:sectPr>
          <w:pgSz w:w="11899" w:h="16819"/>
          <w:pgMar w:top="382" w:right="1440" w:bottom="3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228" w:right="144" w:hanging="428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Comparison of Sensitivity, Specificity and Accuracy of ISS, RTS, and TRISS Instruments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Predicting Mortality of Trauma Patients </w:t>
      </w:r>
    </w:p>
    <w:p>
      <w:pPr>
        <w:autoSpaceDN w:val="0"/>
        <w:autoSpaceDE w:val="0"/>
        <w:widowControl/>
        <w:spacing w:line="240" w:lineRule="auto" w:before="43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144520" cy="228473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284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Figure 5. </w:t>
      </w:r>
    </w:p>
    <w:p>
      <w:pPr>
        <w:autoSpaceDN w:val="0"/>
        <w:tabs>
          <w:tab w:pos="828" w:val="left"/>
          <w:tab w:pos="3754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ROC hour to 48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48-hour ROC ISS, RTS, and TRISS graphs above, it can be seen that it has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model with high sensitivity and specificity in the upper left corner of the plot.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shows that the model can predict the mortality rate in trauma patients well. </w:t>
      </w:r>
    </w:p>
    <w:p>
      <w:pPr>
        <w:autoSpaceDN w:val="0"/>
        <w:tabs>
          <w:tab w:pos="4750" w:val="left"/>
        </w:tabs>
        <w:autoSpaceDE w:val="0"/>
        <w:widowControl/>
        <w:spacing w:line="245" w:lineRule="auto" w:before="52" w:after="6"/>
        <w:ind w:left="3130" w:right="259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Table 7. AUC ISS, RTS, TRISS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AUC (Hours to)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8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208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31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213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99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121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36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48 </w:t>
            </w:r>
          </w:p>
        </w:tc>
      </w:tr>
      <w:tr>
        <w:trPr>
          <w:trHeight w:hRule="exact" w:val="306"/>
        </w:trPr>
        <w:tc>
          <w:tcPr>
            <w:tcW w:type="dxa" w:w="12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ISS </w:t>
            </w:r>
          </w:p>
        </w:tc>
        <w:tc>
          <w:tcPr>
            <w:tcW w:type="dxa" w:w="14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0,956 </w:t>
            </w:r>
          </w:p>
        </w:tc>
        <w:tc>
          <w:tcPr>
            <w:tcW w:type="dxa" w:w="21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8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0,964 </w:t>
            </w:r>
          </w:p>
        </w:tc>
        <w:tc>
          <w:tcPr>
            <w:tcW w:type="dxa" w:w="121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0,982 </w:t>
            </w:r>
          </w:p>
        </w:tc>
      </w:tr>
      <w:tr>
        <w:trPr>
          <w:trHeight w:hRule="exact" w:val="304"/>
        </w:trPr>
        <w:tc>
          <w:tcPr>
            <w:tcW w:type="dxa" w:w="12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6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RTS </w:t>
            </w:r>
          </w:p>
        </w:tc>
        <w:tc>
          <w:tcPr>
            <w:tcW w:type="dxa" w:w="14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0,943 </w:t>
            </w:r>
          </w:p>
        </w:tc>
        <w:tc>
          <w:tcPr>
            <w:tcW w:type="dxa" w:w="21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8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0,946 </w:t>
            </w:r>
          </w:p>
        </w:tc>
        <w:tc>
          <w:tcPr>
            <w:tcW w:type="dxa" w:w="121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0,971 </w:t>
            </w:r>
          </w:p>
        </w:tc>
      </w:tr>
      <w:tr>
        <w:trPr>
          <w:trHeight w:hRule="exact" w:val="300"/>
        </w:trPr>
        <w:tc>
          <w:tcPr>
            <w:tcW w:type="dxa" w:w="12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7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TRISS </w:t>
            </w:r>
          </w:p>
        </w:tc>
        <w:tc>
          <w:tcPr>
            <w:tcW w:type="dxa" w:w="14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0,973 </w:t>
            </w:r>
          </w:p>
        </w:tc>
        <w:tc>
          <w:tcPr>
            <w:tcW w:type="dxa" w:w="21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8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0,977 </w:t>
            </w:r>
          </w:p>
        </w:tc>
        <w:tc>
          <w:tcPr>
            <w:tcW w:type="dxa" w:w="121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0,994 </w:t>
            </w:r>
          </w:p>
        </w:tc>
      </w:tr>
    </w:tbl>
    <w:p>
      <w:pPr>
        <w:autoSpaceDN w:val="0"/>
        <w:autoSpaceDE w:val="0"/>
        <w:widowControl/>
        <w:spacing w:line="245" w:lineRule="auto" w:before="348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table above displays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Area Under the Curve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(AUC) values for ISS, RTS, and TRISS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instruments at three different time intervals, namely 6 hours, 24 hours, and 48 hours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after the trauma event. The TRISS instrument recorded the highest AUC on all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timeframes, with values of 0.973, 0.977, and 0.994, respectively. Meanwhile, the ISS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instrument has the second highest AUC value as the standard standard, followed by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RTS instrument, with values of 0.956, 0.961, and 0.982 for the ISS, respectively,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0.943, 0.946, and 0.971 for the RTS. This table provides information on the ability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these instruments to predict the patient's condition at various time stages after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event, with TRISS performing best compared to the ISS and RTS. </w:t>
      </w:r>
    </w:p>
    <w:p>
      <w:pPr>
        <w:autoSpaceDN w:val="0"/>
        <w:autoSpaceDE w:val="0"/>
        <w:widowControl/>
        <w:spacing w:line="304" w:lineRule="exact" w:before="0" w:after="12"/>
        <w:ind w:left="0" w:right="2512" w:firstLine="0"/>
        <w:jc w:val="righ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Table 8. </w:t>
      </w:r>
      <w:r>
        <w:rPr>
          <w:rFonts w:ascii="Arial" w:hAnsi="Arial" w:eastAsia="Arial"/>
          <w:b/>
          <w:i w:val="0"/>
          <w:color w:val="000000"/>
          <w:sz w:val="22"/>
          <w:u w:val="single"/>
        </w:rPr>
        <w:t>SPSS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calculation results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1.9999999999999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00"/>
        </w:trPr>
        <w:tc>
          <w:tcPr>
            <w:tcW w:type="dxa" w:w="1086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Time </w:t>
            </w:r>
          </w:p>
        </w:tc>
        <w:tc>
          <w:tcPr>
            <w:tcW w:type="dxa" w:w="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Cut off </w:t>
            </w:r>
          </w:p>
        </w:tc>
        <w:tc>
          <w:tcPr>
            <w:tcW w:type="dxa" w:w="105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Sensitivity </w:t>
            </w:r>
          </w:p>
        </w:tc>
        <w:tc>
          <w:tcPr>
            <w:tcW w:type="dxa" w:w="103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5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Specificity </w:t>
            </w:r>
          </w:p>
        </w:tc>
        <w:tc>
          <w:tcPr>
            <w:tcW w:type="dxa" w:w="1012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7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PPV </w:t>
            </w:r>
          </w:p>
        </w:tc>
        <w:tc>
          <w:tcPr>
            <w:tcW w:type="dxa" w:w="96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NPV </w:t>
            </w:r>
          </w:p>
        </w:tc>
        <w:tc>
          <w:tcPr>
            <w:tcW w:type="dxa" w:w="1252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Accurate </w:t>
            </w:r>
          </w:p>
        </w:tc>
        <w:tc>
          <w:tcPr>
            <w:tcW w:type="dxa" w:w="85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AUC </w:t>
            </w:r>
          </w:p>
        </w:tc>
      </w:tr>
      <w:tr>
        <w:trPr>
          <w:trHeight w:hRule="exact" w:val="212"/>
        </w:trPr>
        <w:tc>
          <w:tcPr>
            <w:tcW w:type="dxa" w:w="1127"/>
            <w:vMerge/>
            <w:tcBorders>
              <w:bottom w:sz="4.0" w:val="single" w:color="#000000"/>
            </w:tcBorders>
          </w:tcPr>
          <w:p/>
        </w:tc>
        <w:tc>
          <w:tcPr>
            <w:tcW w:type="dxa" w:w="97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points </w:t>
            </w:r>
          </w:p>
        </w:tc>
        <w:tc>
          <w:tcPr>
            <w:tcW w:type="dxa" w:w="1127"/>
            <w:vMerge/>
            <w:tcBorders>
              <w:bottom w:sz="4.0" w:val="single" w:color="#000000"/>
            </w:tcBorders>
          </w:tcPr>
          <w:p/>
        </w:tc>
        <w:tc>
          <w:tcPr>
            <w:tcW w:type="dxa" w:w="1127"/>
            <w:vMerge/>
            <w:tcBorders>
              <w:bottom w:sz="4.0" w:val="single" w:color="#000000"/>
            </w:tcBorders>
          </w:tcPr>
          <w:p/>
        </w:tc>
        <w:tc>
          <w:tcPr>
            <w:tcW w:type="dxa" w:w="1127"/>
            <w:vMerge/>
            <w:tcBorders>
              <w:bottom w:sz="4.0" w:val="single" w:color="#000000"/>
            </w:tcBorders>
          </w:tcPr>
          <w:p/>
        </w:tc>
        <w:tc>
          <w:tcPr>
            <w:tcW w:type="dxa" w:w="1127"/>
            <w:vMerge/>
            <w:tcBorders>
              <w:bottom w:sz="4.0" w:val="single" w:color="#000000"/>
            </w:tcBorders>
          </w:tcPr>
          <w:p/>
        </w:tc>
        <w:tc>
          <w:tcPr>
            <w:tcW w:type="dxa" w:w="1127"/>
            <w:vMerge/>
            <w:tcBorders>
              <w:bottom w:sz="4.0" w:val="single" w:color="#000000"/>
            </w:tcBorders>
          </w:tcPr>
          <w:p/>
        </w:tc>
        <w:tc>
          <w:tcPr>
            <w:tcW w:type="dxa" w:w="1127"/>
            <w:vMerge/>
            <w:tcBorders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94" w:lineRule="auto" w:before="102" w:after="2"/>
        <w:ind w:left="5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6 Hours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1.9999999999999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78"/>
        </w:trPr>
        <w:tc>
          <w:tcPr>
            <w:tcW w:type="dxa" w:w="10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TRIISS </w:t>
            </w:r>
          </w:p>
        </w:tc>
        <w:tc>
          <w:tcPr>
            <w:tcW w:type="dxa" w:w="97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34,5 </w:t>
            </w:r>
          </w:p>
        </w:tc>
        <w:tc>
          <w:tcPr>
            <w:tcW w:type="dxa" w:w="10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0,918 </w:t>
            </w:r>
          </w:p>
        </w:tc>
        <w:tc>
          <w:tcPr>
            <w:tcW w:type="dxa" w:w="102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1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0,915 </w:t>
            </w:r>
          </w:p>
        </w:tc>
        <w:tc>
          <w:tcPr>
            <w:tcW w:type="dxa" w:w="104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94,90% </w:t>
            </w:r>
          </w:p>
        </w:tc>
        <w:tc>
          <w:tcPr>
            <w:tcW w:type="dxa" w:w="10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83,70% </w:t>
            </w:r>
          </w:p>
        </w:tc>
        <w:tc>
          <w:tcPr>
            <w:tcW w:type="dxa" w:w="115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91,60% </w:t>
            </w:r>
          </w:p>
        </w:tc>
        <w:tc>
          <w:tcPr>
            <w:tcW w:type="dxa" w:w="85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0,973 </w:t>
            </w:r>
          </w:p>
        </w:tc>
      </w:tr>
      <w:tr>
        <w:trPr>
          <w:trHeight w:hRule="exact" w:val="278"/>
        </w:trPr>
        <w:tc>
          <w:tcPr>
            <w:tcW w:type="dxa" w:w="10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ISS </w:t>
            </w:r>
          </w:p>
        </w:tc>
        <w:tc>
          <w:tcPr>
            <w:tcW w:type="dxa" w:w="97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40,5 </w:t>
            </w:r>
          </w:p>
        </w:tc>
        <w:tc>
          <w:tcPr>
            <w:tcW w:type="dxa" w:w="10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2" w:after="0"/>
              <w:ind w:left="0" w:right="0" w:firstLine="0"/>
              <w:jc w:val="center"/>
            </w:pPr>
            <w:r>
              <w:rPr>
                <w:w w:val="98.43483924865723"/>
                <w:rFonts w:ascii="Calibri" w:hAnsi="Calibri" w:eastAsia="Calibri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02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0,863 </w:t>
            </w:r>
          </w:p>
        </w:tc>
        <w:tc>
          <w:tcPr>
            <w:tcW w:type="dxa" w:w="104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86,30% </w:t>
            </w:r>
          </w:p>
        </w:tc>
        <w:tc>
          <w:tcPr>
            <w:tcW w:type="dxa" w:w="10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100% </w:t>
            </w:r>
          </w:p>
        </w:tc>
        <w:tc>
          <w:tcPr>
            <w:tcW w:type="dxa" w:w="115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90,40% </w:t>
            </w:r>
          </w:p>
        </w:tc>
        <w:tc>
          <w:tcPr>
            <w:tcW w:type="dxa" w:w="85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0,956 </w:t>
            </w:r>
          </w:p>
        </w:tc>
      </w:tr>
      <w:tr>
        <w:trPr>
          <w:trHeight w:hRule="exact" w:val="274"/>
        </w:trPr>
        <w:tc>
          <w:tcPr>
            <w:tcW w:type="dxa" w:w="10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RTS </w:t>
            </w:r>
          </w:p>
        </w:tc>
        <w:tc>
          <w:tcPr>
            <w:tcW w:type="dxa" w:w="97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2" w:after="0"/>
              <w:ind w:left="0" w:right="0" w:firstLine="0"/>
              <w:jc w:val="center"/>
            </w:pPr>
            <w:r>
              <w:rPr>
                <w:w w:val="98.43483924865723"/>
                <w:rFonts w:ascii="Calibri" w:hAnsi="Calibri" w:eastAsia="Calibri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0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0,98 </w:t>
            </w:r>
          </w:p>
        </w:tc>
        <w:tc>
          <w:tcPr>
            <w:tcW w:type="dxa" w:w="102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0,889 </w:t>
            </w:r>
          </w:p>
        </w:tc>
        <w:tc>
          <w:tcPr>
            <w:tcW w:type="dxa" w:w="104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96,60% </w:t>
            </w:r>
          </w:p>
        </w:tc>
        <w:tc>
          <w:tcPr>
            <w:tcW w:type="dxa" w:w="10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38,80% </w:t>
            </w:r>
          </w:p>
        </w:tc>
        <w:tc>
          <w:tcPr>
            <w:tcW w:type="dxa" w:w="115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79,50% </w:t>
            </w:r>
          </w:p>
        </w:tc>
        <w:tc>
          <w:tcPr>
            <w:tcW w:type="dxa" w:w="85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0,943 </w:t>
            </w:r>
          </w:p>
        </w:tc>
      </w:tr>
    </w:tbl>
    <w:p>
      <w:pPr>
        <w:autoSpaceDN w:val="0"/>
        <w:autoSpaceDE w:val="0"/>
        <w:widowControl/>
        <w:spacing w:line="197" w:lineRule="auto" w:before="68" w:after="2"/>
        <w:ind w:left="5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24 jam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1.9999999999999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74"/>
        </w:trPr>
        <w:tc>
          <w:tcPr>
            <w:tcW w:type="dxa" w:w="10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TRIISS </w:t>
            </w:r>
          </w:p>
        </w:tc>
        <w:tc>
          <w:tcPr>
            <w:tcW w:type="dxa" w:w="97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30,5 </w:t>
            </w:r>
          </w:p>
        </w:tc>
        <w:tc>
          <w:tcPr>
            <w:tcW w:type="dxa" w:w="10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0,922 </w:t>
            </w:r>
          </w:p>
        </w:tc>
        <w:tc>
          <w:tcPr>
            <w:tcW w:type="dxa" w:w="102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0,922 </w:t>
            </w:r>
          </w:p>
        </w:tc>
        <w:tc>
          <w:tcPr>
            <w:tcW w:type="dxa" w:w="100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95,70% </w:t>
            </w:r>
          </w:p>
        </w:tc>
        <w:tc>
          <w:tcPr>
            <w:tcW w:type="dxa" w:w="11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84,30% </w:t>
            </w:r>
          </w:p>
        </w:tc>
        <w:tc>
          <w:tcPr>
            <w:tcW w:type="dxa" w:w="113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92,20% </w:t>
            </w:r>
          </w:p>
        </w:tc>
        <w:tc>
          <w:tcPr>
            <w:tcW w:type="dxa" w:w="85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0,977 </w:t>
            </w:r>
          </w:p>
        </w:tc>
      </w:tr>
      <w:tr>
        <w:trPr>
          <w:trHeight w:hRule="exact" w:val="280"/>
        </w:trPr>
        <w:tc>
          <w:tcPr>
            <w:tcW w:type="dxa" w:w="108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ISS </w:t>
            </w:r>
          </w:p>
        </w:tc>
        <w:tc>
          <w:tcPr>
            <w:tcW w:type="dxa" w:w="972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40,5 </w:t>
            </w:r>
          </w:p>
        </w:tc>
        <w:tc>
          <w:tcPr>
            <w:tcW w:type="dxa" w:w="105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98.43483924865723"/>
                <w:rFonts w:ascii="Calibri" w:hAnsi="Calibri" w:eastAsia="Calibri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02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1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0,878 </w:t>
            </w:r>
          </w:p>
        </w:tc>
        <w:tc>
          <w:tcPr>
            <w:tcW w:type="dxa" w:w="1002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87,80% </w:t>
            </w:r>
          </w:p>
        </w:tc>
        <w:tc>
          <w:tcPr>
            <w:tcW w:type="dxa" w:w="1100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  <w:tc>
          <w:tcPr>
            <w:tcW w:type="dxa" w:w="1132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91,60% </w:t>
            </w:r>
          </w:p>
        </w:tc>
        <w:tc>
          <w:tcPr>
            <w:tcW w:type="dxa" w:w="850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0,961 </w:t>
            </w:r>
          </w:p>
        </w:tc>
      </w:tr>
      <w:tr>
        <w:trPr>
          <w:trHeight w:hRule="exact" w:val="276"/>
        </w:trPr>
        <w:tc>
          <w:tcPr>
            <w:tcW w:type="dxa" w:w="1086"/>
            <w:tcBorders>
              <w:top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RTS </w:t>
            </w:r>
          </w:p>
        </w:tc>
        <w:tc>
          <w:tcPr>
            <w:tcW w:type="dxa" w:w="972"/>
            <w:tcBorders>
              <w:top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98.43483924865723"/>
                <w:rFonts w:ascii="Calibri" w:hAnsi="Calibri" w:eastAsia="Calibri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054"/>
            <w:tcBorders>
              <w:top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0,98 </w:t>
            </w:r>
          </w:p>
        </w:tc>
        <w:tc>
          <w:tcPr>
            <w:tcW w:type="dxa" w:w="1024"/>
            <w:tcBorders>
              <w:top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1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0,904 </w:t>
            </w:r>
          </w:p>
        </w:tc>
        <w:tc>
          <w:tcPr>
            <w:tcW w:type="dxa" w:w="1002"/>
            <w:tcBorders>
              <w:top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93,90% </w:t>
            </w:r>
          </w:p>
        </w:tc>
        <w:tc>
          <w:tcPr>
            <w:tcW w:type="dxa" w:w="1100"/>
            <w:tcBorders>
              <w:top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70,60% </w:t>
            </w:r>
          </w:p>
        </w:tc>
        <w:tc>
          <w:tcPr>
            <w:tcW w:type="dxa" w:w="1132"/>
            <w:tcBorders>
              <w:top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86,70% </w:t>
            </w:r>
          </w:p>
        </w:tc>
        <w:tc>
          <w:tcPr>
            <w:tcW w:type="dxa" w:w="850"/>
            <w:tcBorders>
              <w:top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0,946 </w:t>
            </w:r>
          </w:p>
        </w:tc>
      </w:tr>
    </w:tbl>
    <w:p>
      <w:pPr>
        <w:autoSpaceDN w:val="0"/>
        <w:autoSpaceDE w:val="0"/>
        <w:widowControl/>
        <w:spacing w:line="194" w:lineRule="auto" w:before="64" w:after="8"/>
        <w:ind w:left="5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48 hours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09"/>
        <w:gridCol w:w="4509"/>
      </w:tblGrid>
      <w:tr>
        <w:trPr>
          <w:trHeight w:hRule="exact" w:val="760"/>
        </w:trPr>
        <w:tc>
          <w:tcPr>
            <w:tcW w:type="dxa" w:w="876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5, May 2024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19"/>
          <w:pgMar w:top="390" w:right="144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11" w:lineRule="auto" w:before="0" w:after="676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Fenny Tianda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Kumboyono Kumboyono Penulis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Suryanto Suryanto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1.9999999999999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78"/>
        </w:trPr>
        <w:tc>
          <w:tcPr>
            <w:tcW w:type="dxa" w:w="10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TRIISS </w:t>
            </w:r>
          </w:p>
        </w:tc>
        <w:tc>
          <w:tcPr>
            <w:tcW w:type="dxa" w:w="97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22,5 </w:t>
            </w:r>
          </w:p>
        </w:tc>
        <w:tc>
          <w:tcPr>
            <w:tcW w:type="dxa" w:w="10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0,966 </w:t>
            </w:r>
          </w:p>
        </w:tc>
        <w:tc>
          <w:tcPr>
            <w:tcW w:type="dxa" w:w="102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0,963 </w:t>
            </w:r>
          </w:p>
        </w:tc>
        <w:tc>
          <w:tcPr>
            <w:tcW w:type="dxa" w:w="100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97,20% </w:t>
            </w:r>
          </w:p>
        </w:tc>
        <w:tc>
          <w:tcPr>
            <w:tcW w:type="dxa" w:w="11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96,60% </w:t>
            </w:r>
          </w:p>
        </w:tc>
        <w:tc>
          <w:tcPr>
            <w:tcW w:type="dxa" w:w="113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97% </w:t>
            </w:r>
          </w:p>
        </w:tc>
        <w:tc>
          <w:tcPr>
            <w:tcW w:type="dxa" w:w="85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0,994 </w:t>
            </w:r>
          </w:p>
        </w:tc>
      </w:tr>
      <w:tr>
        <w:trPr>
          <w:trHeight w:hRule="exact" w:val="276"/>
        </w:trPr>
        <w:tc>
          <w:tcPr>
            <w:tcW w:type="dxa" w:w="10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2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ISS </w:t>
            </w:r>
          </w:p>
        </w:tc>
        <w:tc>
          <w:tcPr>
            <w:tcW w:type="dxa" w:w="97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40,5 </w:t>
            </w:r>
          </w:p>
        </w:tc>
        <w:tc>
          <w:tcPr>
            <w:tcW w:type="dxa" w:w="10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98.43483924865723"/>
                <w:rFonts w:ascii="Calibri" w:hAnsi="Calibri" w:eastAsia="Calibri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02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0,944 </w:t>
            </w:r>
          </w:p>
        </w:tc>
        <w:tc>
          <w:tcPr>
            <w:tcW w:type="dxa" w:w="100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94,40% </w:t>
            </w:r>
          </w:p>
        </w:tc>
        <w:tc>
          <w:tcPr>
            <w:tcW w:type="dxa" w:w="11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  <w:tc>
          <w:tcPr>
            <w:tcW w:type="dxa" w:w="113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96,40% </w:t>
            </w:r>
          </w:p>
        </w:tc>
        <w:tc>
          <w:tcPr>
            <w:tcW w:type="dxa" w:w="85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0,982 </w:t>
            </w:r>
          </w:p>
        </w:tc>
      </w:tr>
      <w:tr>
        <w:trPr>
          <w:trHeight w:hRule="exact" w:val="240"/>
        </w:trPr>
        <w:tc>
          <w:tcPr>
            <w:tcW w:type="dxa" w:w="10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RTS </w:t>
            </w:r>
          </w:p>
        </w:tc>
        <w:tc>
          <w:tcPr>
            <w:tcW w:type="dxa" w:w="97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" w:after="0"/>
              <w:ind w:left="0" w:right="0" w:firstLine="0"/>
              <w:jc w:val="center"/>
            </w:pPr>
            <w:r>
              <w:rPr>
                <w:w w:val="98.43483924865723"/>
                <w:rFonts w:ascii="Calibri" w:hAnsi="Calibri" w:eastAsia="Calibri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0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0,966 </w:t>
            </w:r>
          </w:p>
        </w:tc>
        <w:tc>
          <w:tcPr>
            <w:tcW w:type="dxa" w:w="102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" w:after="0"/>
              <w:ind w:left="0" w:right="1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0,963 </w:t>
            </w:r>
          </w:p>
        </w:tc>
        <w:tc>
          <w:tcPr>
            <w:tcW w:type="dxa" w:w="100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" w:after="0"/>
              <w:ind w:left="2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96,30% </w:t>
            </w:r>
          </w:p>
        </w:tc>
        <w:tc>
          <w:tcPr>
            <w:tcW w:type="dxa" w:w="11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96,60% </w:t>
            </w:r>
          </w:p>
        </w:tc>
        <w:tc>
          <w:tcPr>
            <w:tcW w:type="dxa" w:w="113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96,40% </w:t>
            </w:r>
          </w:p>
        </w:tc>
        <w:tc>
          <w:tcPr>
            <w:tcW w:type="dxa" w:w="85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0,971 </w:t>
            </w:r>
          </w:p>
        </w:tc>
      </w:tr>
    </w:tbl>
    <w:p>
      <w:pPr>
        <w:autoSpaceDN w:val="0"/>
        <w:tabs>
          <w:tab w:pos="828" w:val="left"/>
          <w:tab w:pos="2328" w:val="left"/>
        </w:tabs>
        <w:autoSpaceDE w:val="0"/>
        <w:widowControl/>
        <w:spacing w:line="245" w:lineRule="auto" w:before="46" w:after="0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The table above presents the calculation results from SPSS statistical software for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three instruments, TRIISS, ISS, and RTS, at three different periods, namely 6 hours, 24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hours, and 48 hours after the trauma event. Sensitivity, specificity, predictive positive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value (PPV), predictive negative value (NPV), accuracy, and Area Under the Curve (AUC)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are evaluated for each instrument on each timeframe. Results show that the TRISS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instrument has excellent performance, with high sensitivity, specificity, PPV, NPV, </w:t>
      </w: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accuracy, and AUC on all timeframes, followed by ISS and RTS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ISS, RTS, and TRISS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Sensitivity Levels. </w:t>
      </w:r>
    </w:p>
    <w:p>
      <w:pPr>
        <w:autoSpaceDN w:val="0"/>
        <w:autoSpaceDE w:val="0"/>
        <w:widowControl/>
        <w:spacing w:line="197" w:lineRule="auto" w:before="54" w:after="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Table 9 . Sensitivity Values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4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30"/>
        </w:trPr>
        <w:tc>
          <w:tcPr>
            <w:tcW w:type="dxa" w:w="1000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4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2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1438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66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1308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67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48 </w:t>
            </w:r>
          </w:p>
        </w:tc>
      </w:tr>
      <w:tr>
        <w:trPr>
          <w:trHeight w:hRule="exact" w:val="304"/>
        </w:trPr>
        <w:tc>
          <w:tcPr>
            <w:tcW w:type="dxa" w:w="1000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TRIISS </w:t>
            </w:r>
          </w:p>
        </w:tc>
        <w:tc>
          <w:tcPr>
            <w:tcW w:type="dxa" w:w="1604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Cut off points </w:t>
            </w:r>
          </w:p>
        </w:tc>
        <w:tc>
          <w:tcPr>
            <w:tcW w:type="dxa" w:w="1042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34,5 </w:t>
            </w:r>
          </w:p>
        </w:tc>
        <w:tc>
          <w:tcPr>
            <w:tcW w:type="dxa" w:w="1438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5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30,5 </w:t>
            </w:r>
          </w:p>
        </w:tc>
        <w:tc>
          <w:tcPr>
            <w:tcW w:type="dxa" w:w="1308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22,5 </w:t>
            </w:r>
          </w:p>
        </w:tc>
      </w:tr>
      <w:tr>
        <w:trPr>
          <w:trHeight w:hRule="exact" w:val="330"/>
        </w:trPr>
        <w:tc>
          <w:tcPr>
            <w:tcW w:type="dxa" w:w="1000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4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Sensitifity </w:t>
            </w:r>
          </w:p>
        </w:tc>
        <w:tc>
          <w:tcPr>
            <w:tcW w:type="dxa" w:w="1042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0,918 </w:t>
            </w:r>
          </w:p>
        </w:tc>
        <w:tc>
          <w:tcPr>
            <w:tcW w:type="dxa" w:w="1438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0,922 </w:t>
            </w:r>
          </w:p>
        </w:tc>
        <w:tc>
          <w:tcPr>
            <w:tcW w:type="dxa" w:w="1308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0,966 </w:t>
            </w:r>
          </w:p>
        </w:tc>
      </w:tr>
      <w:tr>
        <w:trPr>
          <w:trHeight w:hRule="exact" w:val="346"/>
        </w:trPr>
        <w:tc>
          <w:tcPr>
            <w:tcW w:type="dxa" w:w="1000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0" w:right="38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ISS </w:t>
            </w:r>
          </w:p>
        </w:tc>
        <w:tc>
          <w:tcPr>
            <w:tcW w:type="dxa" w:w="1604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Cut off points </w:t>
            </w:r>
          </w:p>
        </w:tc>
        <w:tc>
          <w:tcPr>
            <w:tcW w:type="dxa" w:w="1042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40,5 </w:t>
            </w:r>
          </w:p>
        </w:tc>
        <w:tc>
          <w:tcPr>
            <w:tcW w:type="dxa" w:w="1438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5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40,5 </w:t>
            </w:r>
          </w:p>
        </w:tc>
        <w:tc>
          <w:tcPr>
            <w:tcW w:type="dxa" w:w="1308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40,5 </w:t>
            </w:r>
          </w:p>
        </w:tc>
      </w:tr>
      <w:tr>
        <w:trPr>
          <w:trHeight w:hRule="exact" w:val="330"/>
        </w:trPr>
        <w:tc>
          <w:tcPr>
            <w:tcW w:type="dxa" w:w="10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Sensitifity </w:t>
            </w:r>
          </w:p>
        </w:tc>
        <w:tc>
          <w:tcPr>
            <w:tcW w:type="dxa" w:w="104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4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5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3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exact" w:val="344"/>
        </w:trPr>
        <w:tc>
          <w:tcPr>
            <w:tcW w:type="dxa" w:w="1000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23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RTS </w:t>
            </w:r>
          </w:p>
        </w:tc>
        <w:tc>
          <w:tcPr>
            <w:tcW w:type="dxa" w:w="1604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Cut off points </w:t>
            </w:r>
          </w:p>
        </w:tc>
        <w:tc>
          <w:tcPr>
            <w:tcW w:type="dxa" w:w="1042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1438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5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1308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366"/>
        </w:trPr>
        <w:tc>
          <w:tcPr>
            <w:tcW w:type="dxa" w:w="1000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4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Sensitifity </w:t>
            </w:r>
          </w:p>
        </w:tc>
        <w:tc>
          <w:tcPr>
            <w:tcW w:type="dxa" w:w="1042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0,98 </w:t>
            </w:r>
          </w:p>
        </w:tc>
        <w:tc>
          <w:tcPr>
            <w:tcW w:type="dxa" w:w="1438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5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0,98 </w:t>
            </w:r>
          </w:p>
        </w:tc>
        <w:tc>
          <w:tcPr>
            <w:tcW w:type="dxa" w:w="1308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0,966 </w:t>
            </w:r>
          </w:p>
        </w:tc>
      </w:tr>
    </w:tbl>
    <w:p>
      <w:pPr>
        <w:autoSpaceDN w:val="0"/>
        <w:tabs>
          <w:tab w:pos="828" w:val="left"/>
          <w:tab w:pos="1988" w:val="left"/>
        </w:tabs>
        <w:autoSpaceDE w:val="0"/>
        <w:widowControl/>
        <w:spacing w:line="245" w:lineRule="auto" w:before="50" w:after="0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table above presents sensitivity values for three instruments, TRIISS, ISS,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RTS, at three different periods, namely 6 hours, 24 hours, and 48 hours after the trauma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event. Sensitivity is the ability of an instrument to identify patients who are positive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particular condition accurately. In this table, the sensitivity of the TRISS instrument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ranges from 0.918 to 0.966, while the ISS, as the standard, indicates perfect sensitivity </w:t>
      </w:r>
      <w:r>
        <w:rPr>
          <w:rFonts w:ascii="Calibri" w:hAnsi="Calibri" w:eastAsia="Calibri"/>
          <w:b w:val="0"/>
          <w:i w:val="0"/>
          <w:color w:val="000000"/>
          <w:sz w:val="24"/>
        </w:rPr>
        <w:t>(1) at all time ranges. RTS sensitivity is also high, with values of 0.98 on 6-hour and 24-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hour timeframes and 0.966 on 48-hour. These results show that all three instruments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high sensitivity in identifying the patient's condition at different time frames,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ISS achieving perfect sensitivity at all times. In contrast, TRISS and RTS show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excellent sensitivity. </w:t>
      </w:r>
    </w:p>
    <w:p>
      <w:pPr>
        <w:autoSpaceDN w:val="0"/>
        <w:tabs>
          <w:tab w:pos="3212" w:val="left"/>
        </w:tabs>
        <w:autoSpaceDE w:val="0"/>
        <w:widowControl/>
        <w:spacing w:line="245" w:lineRule="auto" w:before="156" w:after="6"/>
        <w:ind w:left="262" w:right="302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ISS, RTS, and TRISS Specificity Levels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Table 10. Specificity Value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56.0000000000002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28"/>
        </w:trPr>
        <w:tc>
          <w:tcPr>
            <w:tcW w:type="dxa" w:w="91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59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1308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131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48 </w:t>
            </w:r>
          </w:p>
        </w:tc>
      </w:tr>
      <w:tr>
        <w:trPr>
          <w:trHeight w:hRule="exact" w:val="306"/>
        </w:trPr>
        <w:tc>
          <w:tcPr>
            <w:tcW w:type="dxa" w:w="91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TRIISS </w:t>
            </w:r>
          </w:p>
        </w:tc>
        <w:tc>
          <w:tcPr>
            <w:tcW w:type="dxa" w:w="17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Cut off points </w:t>
            </w:r>
          </w:p>
        </w:tc>
        <w:tc>
          <w:tcPr>
            <w:tcW w:type="dxa" w:w="118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34,5 </w:t>
            </w:r>
          </w:p>
        </w:tc>
        <w:tc>
          <w:tcPr>
            <w:tcW w:type="dxa" w:w="13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30,5 </w:t>
            </w:r>
          </w:p>
        </w:tc>
        <w:tc>
          <w:tcPr>
            <w:tcW w:type="dxa" w:w="131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22,5 </w:t>
            </w:r>
          </w:p>
        </w:tc>
      </w:tr>
      <w:tr>
        <w:trPr>
          <w:trHeight w:hRule="exact" w:val="332"/>
        </w:trPr>
        <w:tc>
          <w:tcPr>
            <w:tcW w:type="dxa" w:w="91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Spesifity </w:t>
            </w:r>
          </w:p>
        </w:tc>
        <w:tc>
          <w:tcPr>
            <w:tcW w:type="dxa" w:w="118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0,915 </w:t>
            </w:r>
          </w:p>
        </w:tc>
        <w:tc>
          <w:tcPr>
            <w:tcW w:type="dxa" w:w="13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0,922 </w:t>
            </w:r>
          </w:p>
        </w:tc>
        <w:tc>
          <w:tcPr>
            <w:tcW w:type="dxa" w:w="131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0,963 </w:t>
            </w:r>
          </w:p>
        </w:tc>
      </w:tr>
      <w:tr>
        <w:trPr>
          <w:trHeight w:hRule="exact" w:val="342"/>
        </w:trPr>
        <w:tc>
          <w:tcPr>
            <w:tcW w:type="dxa" w:w="912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ISS </w:t>
            </w:r>
          </w:p>
        </w:tc>
        <w:tc>
          <w:tcPr>
            <w:tcW w:type="dxa" w:w="1720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Cut off points </w:t>
            </w:r>
          </w:p>
        </w:tc>
        <w:tc>
          <w:tcPr>
            <w:tcW w:type="dxa" w:w="1182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40,5 </w:t>
            </w:r>
          </w:p>
        </w:tc>
        <w:tc>
          <w:tcPr>
            <w:tcW w:type="dxa" w:w="1308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40,5 </w:t>
            </w:r>
          </w:p>
        </w:tc>
        <w:tc>
          <w:tcPr>
            <w:tcW w:type="dxa" w:w="131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40,5 </w:t>
            </w:r>
          </w:p>
        </w:tc>
      </w:tr>
      <w:tr>
        <w:trPr>
          <w:trHeight w:hRule="exact" w:val="330"/>
        </w:trPr>
        <w:tc>
          <w:tcPr>
            <w:tcW w:type="dxa" w:w="91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Spesifity </w:t>
            </w:r>
          </w:p>
        </w:tc>
        <w:tc>
          <w:tcPr>
            <w:tcW w:type="dxa" w:w="118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0,863 </w:t>
            </w:r>
          </w:p>
        </w:tc>
        <w:tc>
          <w:tcPr>
            <w:tcW w:type="dxa" w:w="1308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0,878 </w:t>
            </w:r>
          </w:p>
        </w:tc>
        <w:tc>
          <w:tcPr>
            <w:tcW w:type="dxa" w:w="131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0,944 </w:t>
            </w:r>
          </w:p>
        </w:tc>
      </w:tr>
      <w:tr>
        <w:trPr>
          <w:trHeight w:hRule="exact" w:val="346"/>
        </w:trPr>
        <w:tc>
          <w:tcPr>
            <w:tcW w:type="dxa" w:w="91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RTS </w:t>
            </w:r>
          </w:p>
        </w:tc>
        <w:tc>
          <w:tcPr>
            <w:tcW w:type="dxa" w:w="17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Cut off points </w:t>
            </w:r>
          </w:p>
        </w:tc>
        <w:tc>
          <w:tcPr>
            <w:tcW w:type="dxa" w:w="118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5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13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131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370"/>
        </w:trPr>
        <w:tc>
          <w:tcPr>
            <w:tcW w:type="dxa" w:w="91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Spesifity </w:t>
            </w:r>
          </w:p>
        </w:tc>
        <w:tc>
          <w:tcPr>
            <w:tcW w:type="dxa" w:w="118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0,889 </w:t>
            </w:r>
          </w:p>
        </w:tc>
        <w:tc>
          <w:tcPr>
            <w:tcW w:type="dxa" w:w="13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0,904 </w:t>
            </w:r>
          </w:p>
        </w:tc>
        <w:tc>
          <w:tcPr>
            <w:tcW w:type="dxa" w:w="131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0,963 </w:t>
            </w:r>
          </w:p>
        </w:tc>
      </w:tr>
    </w:tbl>
    <w:p>
      <w:pPr>
        <w:autoSpaceDN w:val="0"/>
        <w:tabs>
          <w:tab w:pos="828" w:val="left"/>
          <w:tab w:pos="1988" w:val="left"/>
        </w:tabs>
        <w:autoSpaceDE w:val="0"/>
        <w:widowControl/>
        <w:spacing w:line="245" w:lineRule="auto" w:before="48" w:after="0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table above shows the difference in specificity values between the TRIISS, ISS,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RTS instruments at three different time spans after the trauma event. In the 6 hours,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101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339 </w:t>
      </w:r>
    </w:p>
    <w:p>
      <w:pPr>
        <w:sectPr>
          <w:pgSz w:w="11899" w:h="16819"/>
          <w:pgMar w:top="382" w:right="1440" w:bottom="3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228" w:right="144" w:hanging="428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Comparison of Sensitivity, Specificity and Accuracy of ISS, RTS, and TRISS Instruments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Predicting Mortality of Trauma Patients </w:t>
      </w:r>
    </w:p>
    <w:p>
      <w:pPr>
        <w:autoSpaceDN w:val="0"/>
        <w:autoSpaceDE w:val="0"/>
        <w:widowControl/>
        <w:spacing w:line="245" w:lineRule="auto" w:before="480" w:after="0"/>
        <w:ind w:left="262" w:right="2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highest specificity was found in the TRISS instrument with a value of 0.915, followed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 RTS with a value of 0.889, and ISS had the lowest specificity with a value of 0.863.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24 hours, the highest specificity was also found in the TRISS instrument (0.922),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followed by RTS (0.904) and ISS (0.878). While on 48 hours, TRISS again had the highest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specificity (0.963), followed by RTS (0.963), and ISS had the lowest specificity (0.944).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Therefore, the TRISS instrument consistently showed higher specificity than the ISS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RTS on all timescales following the trauma event.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40"/>
        <w:ind w:left="262" w:right="288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Positive Presumptive Value (PPV), Negative Presumptive Value (NPV), and Accuracy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presumptive value obtained in logistic regression analysis is as follows.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8.0" w:type="dxa"/>
      </w:tblPr>
      <w:tblGrid>
        <w:gridCol w:w="2255"/>
        <w:gridCol w:w="2255"/>
        <w:gridCol w:w="2255"/>
        <w:gridCol w:w="2255"/>
      </w:tblGrid>
      <w:tr>
        <w:trPr>
          <w:trHeight w:hRule="exact" w:val="608"/>
        </w:trPr>
        <w:tc>
          <w:tcPr>
            <w:tcW w:type="dxa" w:w="554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2" w:after="0"/>
              <w:ind w:left="0" w:right="0" w:firstLine="0"/>
              <w:jc w:val="center"/>
            </w:pPr>
            <w:r>
              <w:rPr>
                <w:u w:val="single" w:color="909090"/>
                <w:rFonts w:ascii="Arial" w:hAnsi="Arial" w:eastAsia="Arial"/>
                <w:b/>
                <w:i w:val="0"/>
                <w:color w:val="000000"/>
                <w:sz w:val="22"/>
              </w:rPr>
              <w:t>Table 11. P</w:t>
            </w:r>
            <w:r>
              <w:rPr>
                <w:u w:val="single" w:color="909090"/>
                <w:rFonts w:ascii="Arial" w:hAnsi="Arial" w:eastAsia="Arial"/>
                <w:b/>
                <w:i w:val="0"/>
                <w:color w:val="000000"/>
                <w:sz w:val="22"/>
              </w:rPr>
              <w:t xml:space="preserve">PV, NPV, and </w:t>
            </w:r>
            <w:r>
              <w:rPr>
                <w:u w:val="single" w:color="909090"/>
                <w:rFonts w:ascii="Arial" w:hAnsi="Arial" w:eastAsia="Arial"/>
                <w:b/>
                <w:i w:val="0"/>
                <w:color w:val="000000"/>
                <w:sz w:val="22"/>
              </w:rPr>
              <w:t>Accuracy va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lues in 6 hours </w:t>
            </w:r>
          </w:p>
          <w:p>
            <w:pPr>
              <w:autoSpaceDN w:val="0"/>
              <w:tabs>
                <w:tab w:pos="1160" w:val="left"/>
                <w:tab w:pos="2566" w:val="left"/>
                <w:tab w:pos="3898" w:val="left"/>
              </w:tabs>
              <w:autoSpaceDE w:val="0"/>
              <w:widowControl/>
              <w:spacing w:line="304" w:lineRule="exact" w:before="0" w:after="0"/>
              <w:ind w:left="1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Score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PPV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NPV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Accuracy</w:t>
            </w:r>
          </w:p>
        </w:tc>
      </w:tr>
      <w:tr>
        <w:trPr>
          <w:trHeight w:hRule="exact" w:val="320"/>
        </w:trPr>
        <w:tc>
          <w:tcPr>
            <w:tcW w:type="dxa" w:w="9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6" w:after="0"/>
              <w:ind w:left="1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ISS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" w:after="0"/>
              <w:ind w:left="2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86,3%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100%</w:t>
            </w:r>
          </w:p>
        </w:tc>
        <w:tc>
          <w:tcPr>
            <w:tcW w:type="dxa" w:w="2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" w:after="0"/>
              <w:ind w:left="3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90,4%</w:t>
            </w:r>
          </w:p>
        </w:tc>
      </w:tr>
      <w:tr>
        <w:trPr>
          <w:trHeight w:hRule="exact" w:val="320"/>
        </w:trPr>
        <w:tc>
          <w:tcPr>
            <w:tcW w:type="dxa" w:w="9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6" w:after="0"/>
              <w:ind w:left="1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RTS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2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96,6%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38,8%</w:t>
            </w:r>
          </w:p>
        </w:tc>
        <w:tc>
          <w:tcPr>
            <w:tcW w:type="dxa" w:w="2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79,5%</w:t>
            </w:r>
          </w:p>
        </w:tc>
      </w:tr>
      <w:tr>
        <w:trPr>
          <w:trHeight w:hRule="exact" w:val="368"/>
        </w:trPr>
        <w:tc>
          <w:tcPr>
            <w:tcW w:type="dxa" w:w="912"/>
            <w:tcBorders>
              <w:bottom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0" w:after="0"/>
              <w:ind w:left="1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TRISS</w:t>
            </w:r>
          </w:p>
        </w:tc>
        <w:tc>
          <w:tcPr>
            <w:tcW w:type="dxa" w:w="1260"/>
            <w:tcBorders>
              <w:bottom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2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94,9%</w:t>
            </w:r>
          </w:p>
        </w:tc>
        <w:tc>
          <w:tcPr>
            <w:tcW w:type="dxa" w:w="1360"/>
            <w:tcBorders>
              <w:bottom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83,7%</w:t>
            </w:r>
          </w:p>
        </w:tc>
        <w:tc>
          <w:tcPr>
            <w:tcW w:type="dxa" w:w="2010"/>
            <w:tcBorders>
              <w:bottom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91,6%</w:t>
            </w:r>
          </w:p>
        </w:tc>
      </w:tr>
    </w:tbl>
    <w:p>
      <w:pPr>
        <w:autoSpaceDN w:val="0"/>
        <w:tabs>
          <w:tab w:pos="828" w:val="left"/>
          <w:tab w:pos="2328" w:val="left"/>
        </w:tabs>
        <w:autoSpaceDE w:val="0"/>
        <w:widowControl/>
        <w:spacing w:line="245" w:lineRule="auto" w:before="54" w:after="26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table above, the highest value for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Positive Predictive Value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(PPV)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obtained from the RTS instrument at 6 hours at 96.6%, while the lowest value for PPV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the TRISS instrument at 86.3%. For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Negative Predictive Value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(NPV), the highest value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100% of the ISS instrument at the 6th hour, while the lowest value is 38.8% of the RTS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instrument. As for Accuracy, the highest value is 91.6% for the TRISS instrument,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lowest value is 79.5% for the RTS instrument.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7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Table 12. PPV, NPV, and Accuracy values in 24 hours </w:t>
            </w:r>
          </w:p>
        </w:tc>
      </w:tr>
      <w:tr>
        <w:trPr>
          <w:trHeight w:hRule="exact" w:val="28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" w:after="0"/>
              <w:ind w:left="0" w:right="25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Score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27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PPV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NPV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41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Accuracy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"/>
        <w:ind w:left="0" w:right="0"/>
      </w:pPr>
    </w:p>
    <w:p>
      <w:pPr>
        <w:sectPr>
          <w:pgSz w:w="11899" w:h="16819"/>
          <w:pgMar w:top="390" w:right="1440" w:bottom="460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006"/>
        <w:gridCol w:w="3006"/>
        <w:gridCol w:w="3006"/>
      </w:tblGrid>
      <w:tr>
        <w:trPr>
          <w:trHeight w:hRule="exact" w:val="29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52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ISS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2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87,8%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21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100%</w:t>
            </w:r>
          </w:p>
        </w:tc>
      </w:tr>
      <w:tr>
        <w:trPr>
          <w:trHeight w:hRule="exact" w:val="32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6" w:after="0"/>
              <w:ind w:left="0" w:right="4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RTS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2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93,9%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15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70,6%</w:t>
            </w:r>
          </w:p>
        </w:tc>
      </w:tr>
      <w:tr>
        <w:trPr>
          <w:trHeight w:hRule="exact" w:val="30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" w:after="0"/>
              <w:ind w:left="0" w:right="2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TRISS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2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95,7%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15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84,3%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899" w:h="16819"/>
          <w:pgMar w:top="390" w:right="1440" w:bottom="460" w:left="1440" w:header="720" w:footer="720" w:gutter="0"/>
          <w:cols w:num="2" w:equalWidth="0">
            <w:col w:w="5522" w:space="0"/>
            <w:col w:w="3497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12" w:after="0"/>
        <w:ind w:left="314" w:right="24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91,6%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86,7%</w:t>
      </w:r>
    </w:p>
    <w:p>
      <w:pPr>
        <w:autoSpaceDN w:val="0"/>
        <w:autoSpaceDE w:val="0"/>
        <w:widowControl/>
        <w:spacing w:line="302" w:lineRule="exact" w:before="12" w:after="76"/>
        <w:ind w:left="31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92,2%</w:t>
      </w:r>
    </w:p>
    <w:p>
      <w:pPr>
        <w:sectPr>
          <w:type w:val="nextColumn"/>
          <w:pgSz w:w="11899" w:h="16819"/>
          <w:pgMar w:top="390" w:right="1440" w:bottom="460" w:left="1440" w:header="720" w:footer="720" w:gutter="0"/>
          <w:cols w:num="2" w:equalWidth="0">
            <w:col w:w="5522" w:space="0"/>
            <w:col w:w="3497" w:space="0"/>
          </w:cols>
          <w:docGrid w:linePitch="360"/>
        </w:sectPr>
      </w:pPr>
    </w:p>
    <w:p>
      <w:pPr>
        <w:autoSpaceDN w:val="0"/>
        <w:tabs>
          <w:tab w:pos="828" w:val="left"/>
          <w:tab w:pos="2328" w:val="left"/>
        </w:tabs>
        <w:autoSpaceDE w:val="0"/>
        <w:widowControl/>
        <w:spacing w:line="245" w:lineRule="auto" w:before="58" w:after="0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table above, the highest value for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Positive Predictive Value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(PPV)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obtained from the TRISS instrument at the 24-hour hour of 95.7%, while the lowest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value for PPV is on the ISS instrument at 87.8%. For Negative Predictive Value (NPV),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highest value is 100% of the ISS instrument at the 24th hour, while the lowest value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70.6% of the RTS instrument. As for Accuracy, the highest value is 92.2% for the TRISS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instrument, and the lowest value is 86.7% for the RTS instrument. </w:t>
      </w:r>
    </w:p>
    <w:p>
      <w:pPr>
        <w:autoSpaceDN w:val="0"/>
        <w:autoSpaceDE w:val="0"/>
        <w:widowControl/>
        <w:spacing w:line="197" w:lineRule="auto" w:before="52" w:after="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Table 13. Nilai PPV,NPV, dan akurasi dalam 48 jam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2.0" w:type="dxa"/>
      </w:tblPr>
      <w:tblGrid>
        <w:gridCol w:w="2255"/>
        <w:gridCol w:w="2255"/>
        <w:gridCol w:w="2255"/>
        <w:gridCol w:w="2255"/>
      </w:tblGrid>
      <w:tr>
        <w:trPr>
          <w:trHeight w:hRule="exact" w:val="332"/>
        </w:trPr>
        <w:tc>
          <w:tcPr>
            <w:tcW w:type="dxa" w:w="1148"/>
            <w:tcBorders>
              <w:top w:sz="4.0" w:val="single" w:color="#909090"/>
              <w:bottom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Score </w:t>
            </w:r>
          </w:p>
        </w:tc>
        <w:tc>
          <w:tcPr>
            <w:tcW w:type="dxa" w:w="1450"/>
            <w:tcBorders>
              <w:top w:sz="4.0" w:val="single" w:color="#909090"/>
              <w:bottom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61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PPV </w:t>
            </w:r>
          </w:p>
        </w:tc>
        <w:tc>
          <w:tcPr>
            <w:tcW w:type="dxa" w:w="1342"/>
            <w:tcBorders>
              <w:top w:sz="4.0" w:val="single" w:color="#909090"/>
              <w:bottom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NPV </w:t>
            </w:r>
          </w:p>
        </w:tc>
        <w:tc>
          <w:tcPr>
            <w:tcW w:type="dxa" w:w="1558"/>
            <w:tcBorders>
              <w:top w:sz="4.0" w:val="single" w:color="#909090"/>
              <w:bottom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Accuracy </w:t>
            </w:r>
          </w:p>
        </w:tc>
      </w:tr>
      <w:tr>
        <w:trPr>
          <w:trHeight w:hRule="exact" w:val="280"/>
        </w:trPr>
        <w:tc>
          <w:tcPr>
            <w:tcW w:type="dxa" w:w="1148"/>
            <w:tcBorders>
              <w:top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ISS </w:t>
            </w:r>
          </w:p>
        </w:tc>
        <w:tc>
          <w:tcPr>
            <w:tcW w:type="dxa" w:w="1450"/>
            <w:tcBorders>
              <w:top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94,4% </w:t>
            </w:r>
          </w:p>
        </w:tc>
        <w:tc>
          <w:tcPr>
            <w:tcW w:type="dxa" w:w="1342"/>
            <w:tcBorders>
              <w:top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3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100% </w:t>
            </w:r>
          </w:p>
        </w:tc>
        <w:tc>
          <w:tcPr>
            <w:tcW w:type="dxa" w:w="1558"/>
            <w:tcBorders>
              <w:top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96,4% </w:t>
            </w:r>
          </w:p>
        </w:tc>
      </w:tr>
      <w:tr>
        <w:trPr>
          <w:trHeight w:hRule="exact" w:val="320"/>
        </w:trPr>
        <w:tc>
          <w:tcPr>
            <w:tcW w:type="dxa" w:w="11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RTS </w:t>
            </w:r>
          </w:p>
        </w:tc>
        <w:tc>
          <w:tcPr>
            <w:tcW w:type="dxa" w:w="14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96,3% </w:t>
            </w:r>
          </w:p>
        </w:tc>
        <w:tc>
          <w:tcPr>
            <w:tcW w:type="dxa" w:w="1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2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96,6% </w:t>
            </w:r>
          </w:p>
        </w:tc>
        <w:tc>
          <w:tcPr>
            <w:tcW w:type="dxa" w:w="1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96,4% </w:t>
            </w:r>
          </w:p>
        </w:tc>
      </w:tr>
      <w:tr>
        <w:trPr>
          <w:trHeight w:hRule="exact" w:val="370"/>
        </w:trPr>
        <w:tc>
          <w:tcPr>
            <w:tcW w:type="dxa" w:w="1148"/>
            <w:tcBorders>
              <w:bottom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4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TRISS </w:t>
            </w:r>
          </w:p>
        </w:tc>
        <w:tc>
          <w:tcPr>
            <w:tcW w:type="dxa" w:w="1450"/>
            <w:tcBorders>
              <w:bottom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97,2% </w:t>
            </w:r>
          </w:p>
        </w:tc>
        <w:tc>
          <w:tcPr>
            <w:tcW w:type="dxa" w:w="1342"/>
            <w:tcBorders>
              <w:bottom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0" w:right="2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96,6% </w:t>
            </w:r>
          </w:p>
        </w:tc>
        <w:tc>
          <w:tcPr>
            <w:tcW w:type="dxa" w:w="1558"/>
            <w:tcBorders>
              <w:bottom w:sz="4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97,0% </w:t>
            </w:r>
          </w:p>
        </w:tc>
      </w:tr>
    </w:tbl>
    <w:p>
      <w:pPr>
        <w:autoSpaceDN w:val="0"/>
        <w:tabs>
          <w:tab w:pos="828" w:val="left"/>
          <w:tab w:pos="2328" w:val="left"/>
        </w:tabs>
        <w:autoSpaceDE w:val="0"/>
        <w:widowControl/>
        <w:spacing w:line="245" w:lineRule="auto" w:before="48" w:after="0"/>
        <w:ind w:left="262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Source: Primary Data (2024)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table above, the highest value for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Positive Predictive Value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(PPV)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obtained from the TRISS instrument at 48 hours at 97.2%, while the lowest value for PPV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was on the ISS instrument at 94.4%. For Negative Predictive Value (NPV), the highest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value was 100% of the ISS instrument at 48 hours, while the lowest value was 96.6%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RTS instrument. As for Accuracy, the highest value is 97.0% for the TRISS instrument,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63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340</w:t>
      </w:r>
    </w:p>
    <w:p>
      <w:pPr>
        <w:sectPr>
          <w:type w:val="continuous"/>
          <w:pgSz w:w="11899" w:h="16819"/>
          <w:pgMar w:top="390" w:right="144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Fenny Tianda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Kumboyono Kumboyono Penulis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Suryanto Suryanto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3 </w:t>
      </w:r>
    </w:p>
    <w:p>
      <w:pPr>
        <w:autoSpaceDN w:val="0"/>
        <w:autoSpaceDE w:val="0"/>
        <w:widowControl/>
        <w:spacing w:line="197" w:lineRule="auto" w:before="726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the lowest value is 96.4% for the ISS and RTS instruments.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44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DISCUSSION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results of this study revealed that the majority of patients who experienced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were men with an average score of 40 years. Previous research by Rohilla et al.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(2019) and Helen et al. (2022) also supports these findings, which suggest that trauma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more common in men of productive age. This phenomenon attracts attention because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is a significant cause of preventable mortality and morbidity, especially among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people in the productive age group. The impact is significant, not only for the affected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individuals but also for society as a whole and the health system. Many of them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permanently disabled, causing significant emotional, physical, and financial burdens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families and communities.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study, traffic accidents were recorded as the leading cause of blunt trauma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 147 (88.6%) in most samples. This finding is in line with statistical data from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Indonesian National Police Traffic Corps (Korlantas POLRI), which shows that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number of traffic accidents in Indonesia continues to increase every year. The report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period 2014-2018 shows an average increase of 3.3% per year. This condition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reflects serious challenges in injury prevention efforts and the need for more effective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preventive measures. With increasing mobility and urbanization, the risk of traffic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accidents is increasing, indicating the need for more serious attention in developing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transportation safety policies and public education on traffic safety (Hulwah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2021).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The sensitivity of ISS, RTS, and TRISS in predicting mortality of trauma patients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study, the sensitivity of trauma severity evaluation instruments, such as ISS,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RTS, and TRISS, showed significant variation at various observation times. At the 6th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hour, the ISS showed the highest sensitivity, reaching 100%, followed by RTS with 98%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TRISS with 91.8%. At the 24th hour, the sensitivity of the ISS and RTS remained high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(100% and 98%, respectively), while the TRISS increased to 92.2%. However, at the 48th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hour, the sensitivity of the ISS decreased to 83.1%, while the RTS reached the highest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sensitivity of 97.2%, followed by the TRISS with 96.3%. Although the ISS showed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decreased sensitivity, RTS and TRISS remained relatively stable, with RTS showing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best performance at that stage. According to Andara et al. (2022), the ISS has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sensitivity of 83.1%, which makes it a reliable predictor in assessing mortality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polytrauma patients. However, the study highlights that RTS and TRISS cannot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effectively be predictors of mortality, as both have low sensitivity and specificity. This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due to the dependence of such scores on physiological factors and their inability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 systemic comorbidities.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findings from Javali et al. (2019), the overall sensitivity of RTS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TRISS is equivalent, reaching 97.06% each, which indicates the ability of both to detect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patients at high risk of death. Furthermore, these findings highlight that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sensitivity of the RTS is much higher than that of the ISS, which only reaches 91.18%.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shows that in the context of trauma patient mortality prediction, RTS and TRISS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an advantage in detecting cases that are prone to death. </w:t>
      </w:r>
    </w:p>
    <w:p>
      <w:pPr>
        <w:autoSpaceDN w:val="0"/>
        <w:autoSpaceDE w:val="0"/>
        <w:widowControl/>
        <w:spacing w:line="245" w:lineRule="auto" w:before="56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a sensitivity perspective, these findings highlight the importance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considering the reliability and fit of trauma severity indices in the context of trauma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97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341 </w:t>
      </w:r>
    </w:p>
    <w:p>
      <w:pPr>
        <w:sectPr>
          <w:pgSz w:w="11899" w:h="16819"/>
          <w:pgMar w:top="382" w:right="1440" w:bottom="3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228" w:right="144" w:hanging="428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Comparison of Sensitivity, Specificity and Accuracy of ISS, RTS, and TRISS Instruments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Predicting Mortality of Trauma Patients </w:t>
      </w:r>
    </w:p>
    <w:p>
      <w:pPr>
        <w:autoSpaceDN w:val="0"/>
        <w:autoSpaceDE w:val="0"/>
        <w:widowControl/>
        <w:spacing w:line="245" w:lineRule="auto" w:before="480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 mortality prediction. Although the ISS has a reasonably high sensitivity, RTS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TRISS show more significant potential in detecting trauma patients who are at high risk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death. Therefore, selecting the most appropriate and reliable index should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carefully considered in clinical practice to improve trauma patients' overall management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outcomes.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The level of specificity of ISS, RTS, and TRISS in predicting mortality rates of trauma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patients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study, within 6 hours, the highest specificity was found in TRISS, with a value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91.5%, followed by RTS, 88.9%, and ISS, 86.3%. At 24 hours, the highest specificity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remained on TRISS with 92.2%, followed by RTS with 90.4%, and ISS with 87.8%. At 48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hours, the highest specificity was shared by ISS and RTS, with a value of 96.3%, followed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 TRISS, with 96.3%. This suggests that the specificity of the ISS and RTS instruments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likely to increase over time while the TRISS remains stable at a high level. However,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previous research, as reported by Javali et al. (2019), found that ISS has a higher level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specificity at 89.8%, while RTS and TRISS have lower levels of specificity at 80.1%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88%, respectively. These results highlight differences in specificity assessments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study and previous studies, possibly due to differences in sample characteristics,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methodology, or other factors affecting the study results.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addition, research conducted by Farzan et al. (2022) also provides different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perspectives regarding the specificity of the trauma index. In his study, ISS had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specificity rate of 84.26%, while RTS had a slightly lower specificity rate of 83.33%.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suggests that despite the difference in results, the two indices still show a high degree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specificity in predicting mortality in trauma patients.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addition, research conducted by (Aspelund et al., 2019) also contributes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understanding the specificity of the trauma index. Its findings show that RTS has a higher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level of specificity than the ISS and TRISS, at 91% and 69%, respectively. This emphasizes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RTS may be superior in determining specificity, which can be essential in selecting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most appropriate index in clinical practice to ensure optimal management of trauma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Positive presumptive values of ISS, RTS, and TRISS in predicting mortality rates of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trauma patients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data presented in this study, it can be seen that the highest value for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Positive Predictive Value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(PPV) varies depending on the instrument and measurement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time. At the 6th hour, the RTS instrument had the highest PPV at 96.6%, while the TRISS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instrument had the lowest PPV with a value of 94.9%. However, at 24 and 48 hours,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TRISS instrument recorded the highest PPV of 95.7% and 97.2%, respectively, while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ISS instrument had the lowest PPV in both periods. This suggests that TRISS instruments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tend to provide optimistic predictions more accurately identifying trauma severity than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ISS and RTS instruments. It should be noted that the PPV value reflects the proportion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patients who suffer from a positive condition out of the total patients who tested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positive by tests or evaluation instruments.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Therefore, increasing PPV values on the TRISS instrument at 24 and 48 hours may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indicate that the instrument is better at identifying positive cases and providing more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helpful information in trauma care. However, previous research by Jojczuk et al. (2022)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showed that ISS had a higher positive presumptive value of 100%, while RTS and TRISS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79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342</w:t>
      </w:r>
    </w:p>
    <w:p>
      <w:pPr>
        <w:sectPr>
          <w:pgSz w:w="11899" w:h="16819"/>
          <w:pgMar w:top="390" w:right="144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Fenny Tianda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Kumboyono Kumboyono Penulis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Suryanto Suryanto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3 </w:t>
      </w:r>
    </w:p>
    <w:p>
      <w:pPr>
        <w:autoSpaceDN w:val="0"/>
        <w:autoSpaceDE w:val="0"/>
        <w:widowControl/>
        <w:spacing w:line="245" w:lineRule="auto" w:before="726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had slightly lower values of 96.8% and 97.1%, respectively. These differences may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due to sample characteristics, different methods, or variations within the population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studied.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the other hand, research conducted by Milton et al. (2021) revealed different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results related to positive presumptive values. In his study, ISS, RTS, and TRISS had lower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positive presumptive values of 45.44%, 44.64%, and 51.89%, respectively. This shows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significant variation in research results related to positive presumptive values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study and previous studies. These findings underscore the importance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considering diverse research outcomes in evaluating the performance of trauma indices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predicting outcomes in trauma patients.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Negative presumptive values of ISS, RTS, and TRISS in predicting mortality of trauma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patients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study, at the 6th hour, the ISS, as the gold standard, had the highest NPV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100%, demonstrating its excellent ability to exclude negative cases. Meanwhile, TRISS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also recorded a good NPV of 83.7%, slightly higher than RTS, which is only 38.8%.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suggests that TRISS is more effective than RTS in excluding negative cases at 6 hours.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Furthermore, at 24 and 48 hours, the ISS maintained the highest NPV at 100%, while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TRISS and RTS recorded equally good NPVs at 24 hours (84.3% and 70.6%, respectively)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48 hours (96.6%). This suggests that both TRISS and RTS showed an increased ability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exclude negative cases over time, with TRISS showing comparable or even better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performance than RTS. In this analysis, we can see that TRISS performed better than RTS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terms of NPV at 6 hours, while at 24 and 48 hours, both had equally good performance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ISS as the gold standard. However, previous research conducted by Jojczuk et al.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(2022) showed that ISS had a negative presumptive value of 95.7%, while RTS and TRISS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had lower values of 77.8% and 88.9%, respectively.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6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conducted by (Milton et al., 2021) produced somewhat different findings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regarding negative presumptive values. In his research, ISS, RTS, and TRISS tended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equivalent negative presumptive values, namely 88.70%, 88.49%, and 92.85%,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respectively. This difference shows variations in research results related to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performance of trauma indices in identifying patients who do not experience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predicted condition. Thus, it is crucial to consider findings from various studies before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making solid conclusions about the performance of trauma indices in clinical practice.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The accuracy of the ISS, RTS, and TRISS in predicting the mortality rate of trauma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patients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evaluating accuracy performance, it is crucial to compare RTS and TRISS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instruments with the gold standard, the ISS, in assessing trauma severity. At the 6th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hour, the ISS recorded an accuracy rate of 90.4%, while RTS and TRISS had accuracy rates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79.5% and 91.6%, respectively. This shows that TRISS has a degree of accuracy closer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the ISS than RTS at 6 hours. TRISS also shows higher accuracy than RTS, corresponding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better NPV values. However, it should be noted that both still have a lower accuracy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rate than the ISS. At 24 hours, the ISS recorded an accuracy rate of 91.6%, while RTS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TRISS had accuracy rates of 86.7% and 92.2%, respectively. Once again, TRISS showed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accuracy closer to the ISS than RTS at 24 hours. TRISS also remained consistent with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increased accuracy rate from 6 hours, demonstrating its stable ability to assess trauma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severity. At 48 hours, the ISS recorded an accuracy rate of 96.4%, while RTS and TRISS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107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343 </w:t>
      </w:r>
    </w:p>
    <w:p>
      <w:pPr>
        <w:sectPr>
          <w:pgSz w:w="11899" w:h="16819"/>
          <w:pgMar w:top="382" w:right="1440" w:bottom="3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228" w:right="144" w:hanging="428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Comparison of Sensitivity, Specificity and Accuracy of ISS, RTS, and TRISS Instruments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Predicting Mortality of Trauma Patients </w:t>
      </w:r>
    </w:p>
    <w:p>
      <w:pPr>
        <w:autoSpaceDN w:val="0"/>
        <w:autoSpaceDE w:val="0"/>
        <w:widowControl/>
        <w:spacing w:line="245" w:lineRule="auto" w:before="480" w:after="0"/>
        <w:ind w:left="262" w:right="2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had accuracy rates of 96.4% and 97.0%, respectively. Both instruments, RTS and TRISS,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demonstrated an accuracy level almost equivalent to the ISS at 48 hours, with TRISS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demonstrating high-performance consistency throughout the observed period.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Thus, TRISS showed better or at least comparable performance to RTS in accuracy,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especially at 6 and 24 hours, and showed a stable and consistent ability in assessing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severity. The results showed that ISS had an accuracy rate of 96.4%, followed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RTS with an accuracy rate of 97.6%, and TRISS with an accuracy rate of 97.0%. However,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previous research by Jojczuk et al. (2022) showed slightly different results. In 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research, ISS had an accuracy rate of 95.7%, while RTS and TRISS had a higher accuracy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rate, respectively, at 96.5% and 96.9%. This difference shows variations in research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results related to the performance of trauma indices in accurately classifying patients.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CONCLUSION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and discussion, it can be concluded that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predicting the mortality rate of trauma patients in the emergency room of RSUD IA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Moeis Samarinda, the RTS instrument showed the highest level of sensitivity, followed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 ISS as the gold standard, and TRISS. The best specificity is observed in TRISS, while ISS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shows a lower specificity level than RTS and TRISS. TRISS also stands out in predicting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positive outcomes, followed by ISS and RTS, while in negative presumptive values, TRISS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has a high rate, followed by ISS, and RTS shows variation. TRISS has the highest accuracy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rate, followed by ISS and RTS. Advice can be given to the IA Moeis Samarinda Hospital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health workers, especially nurses, to apply the TRISS assessment system as a tool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information for predicting patient conditions. This is expected to improve response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time and clinical approaches to obtain more comprehensive and optimal treatment,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well as become the basis for the prevention of disability and even death in trauma cases.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future studies, it is recommended that researchers consider conducting studies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focusing on specific areas of the body, such as the head, chest, or abdomen, to obtain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more specific results. In addition, further attention to the timing of the study and other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factors that can affect mortality in trauma cases also needs to be considered to obtain </w:t>
      </w:r>
      <w:r>
        <w:rPr>
          <w:rFonts w:ascii="Calibri" w:hAnsi="Calibri" w:eastAsia="Calibri"/>
          <w:b w:val="0"/>
          <w:i w:val="0"/>
          <w:color w:val="000000"/>
          <w:sz w:val="24"/>
        </w:rPr>
        <w:t>more representative samples and more accurate results.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448" w:after="26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BIBLIOGRAPHY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Ahmad, Muayyad, Qurneh, Ali, Saleh, Mohammad, Aladaileh, Mohammad, &amp; Alhamad,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Ruba. (2022). The effect of implementing adult trauma clinical practice guidelines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outcomes of trauma patients and healthcare providers.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Emergency Nursing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61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101143. https://doi.org/10.1016/j.ienj.2021.101143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ALVAREZ, BRUNO DURANTE, RAZENTE, DANILO MARDEGAM, LACERDA, DANIEL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AUGUSTO MAUAD, LOTHER, NICOLE SILVEIRA, VON-BAHTEN, LUIZ CARLOS, &amp;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STAHLSCHMIDT, CARLA MARTINEZ MENINI. (2016). Analysis of the Revised Trauma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Score (RTS) in 200 victims of different trauma mechanisms.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Revista Do Colégio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9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Brasileiro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de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Cirurgiões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43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(5),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334–340. 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https://doi.org/10.1590/0100-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8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69912016005010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Andara, Rinadi, Kadar, Pranajaya Dharma, &amp; Albar, Husnul Fuad. (2022). Comparison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Injury Severity Score (ISS), New Injury Severity Score (NISS), Revised Trauma Score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(RTS), and Trauma and Injury Severity Score (TRISS) In Predicting Mortality In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69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344</w:t>
      </w:r>
    </w:p>
    <w:p>
      <w:pPr>
        <w:sectPr>
          <w:pgSz w:w="11899" w:h="16819"/>
          <w:pgMar w:top="390" w:right="144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Fenny Tianda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Kumboyono Kumboyono Penulis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Suryanto Suryanto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3 </w:t>
      </w:r>
    </w:p>
    <w:p>
      <w:pPr>
        <w:autoSpaceDN w:val="0"/>
        <w:autoSpaceDE w:val="0"/>
        <w:widowControl/>
        <w:spacing w:line="197" w:lineRule="auto" w:before="726" w:after="26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Polytrauma Patients At Haji Adam Malik General Hospital.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Journal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>
        <w:trPr>
          <w:trHeight w:hRule="exact" w:val="29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218" w:firstLine="0"/>
              <w:jc w:val="righ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Scientific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and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Research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Publications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(IJSRP)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12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(5),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400. 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8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https://doi.org/10.29322/IJSRP.12.05.2022.p12551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Chiang, Yueh Tzu, Lin, Tzu Hsin, Hu, Rey Heng, Lee, Po Chu, &amp; Shih, Hsin Chin. (2021). </w:t>
      </w:r>
    </w:p>
    <w:p>
      <w:pPr>
        <w:autoSpaceDN w:val="0"/>
        <w:autoSpaceDE w:val="0"/>
        <w:widowControl/>
        <w:spacing w:line="197" w:lineRule="auto" w:before="54" w:after="26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Predicting factors for major trauma patient mortality analyzed from trauma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registry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system.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Asian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Journal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of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Surgery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44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(1),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262–268. 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6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https://doi.org/10.1016/j.asjsur.2020.06.014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Farzan, Nina, Foroghi Ghomi, Seyed Yaser, &amp; Mohammadi, Atefeh Raeisi. (2022). 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retrospective study on evaluating GAP, MGAP, RTS and ISS trauma scoring system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predicting mortality among multiple trauma patients.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Annals of Medicine &amp;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Surgery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76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https://doi.org/10.1016/j.amsu.2022.103536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Indurkar, Shubham K., Ghormade, Pankaj S., Akhade, Swapnil, &amp; Sarma, Bedanta.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(2023). Use of the Trauma and Injury Severity Score (TRISS) as a Predictor of Patient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Outcome in Cases of Trauma Presenting in the Trauma and Emergency Department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a Tertiary Care Institute. </w:t>
      </w:r>
      <w:r>
        <w:rPr>
          <w:rFonts w:ascii="Calibri" w:hAnsi="Calibri" w:eastAsia="Calibri"/>
          <w:b w:val="0"/>
          <w:i/>
          <w:color w:val="000000"/>
          <w:sz w:val="24"/>
        </w:rPr>
        <w:t>Cureus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https://doi.org/10.7759/cureus.40410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Irman, Ode. (2018). Hubungan Length Of Stay Dengan Kepuasan Keluarga Pasien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Prioritas Satu Di Igd Rsud Dr. Hendrikus Fernandez Larantuka.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Journal of Nursing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Care and Biomoleculer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135–144. </w:t>
      </w:r>
    </w:p>
    <w:p>
      <w:pPr>
        <w:autoSpaceDN w:val="0"/>
        <w:autoSpaceDE w:val="0"/>
        <w:widowControl/>
        <w:spacing w:line="245" w:lineRule="auto" w:before="54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Khan, Majid Jamal, Hussain, Dildar, &amp; Mehmood, Waqar. (2016). Why do firms adopt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enterprise risk management (ERM)? Empirical evidence from France.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Management </w:t>
      </w:r>
      <w:r>
        <w:rPr>
          <w:rFonts w:ascii="Calibri" w:hAnsi="Calibri" w:eastAsia="Calibri"/>
          <w:b w:val="0"/>
          <w:i/>
          <w:color w:val="000000"/>
          <w:sz w:val="24"/>
        </w:rPr>
        <w:t>Decision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(8), 1886–1907.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Kostiuk, Michael, &amp; Burns, Bracken. (2023). Trauma assessment. In </w:t>
      </w:r>
      <w:r>
        <w:rPr>
          <w:rFonts w:ascii="Calibri" w:hAnsi="Calibri" w:eastAsia="Calibri"/>
          <w:b w:val="0"/>
          <w:i/>
          <w:color w:val="000000"/>
          <w:sz w:val="24"/>
        </w:rPr>
        <w:t>StatPearls [Internet]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StatPearls Publishing.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Magee, F., Wilson, A., Bailey, M., Pilcher, D., Gabbe, B., &amp; Bellomo, R. (2021).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Comparison of Intensive Care and Trauma-specific Scoring Systems in Critically Ill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Patients. </w:t>
      </w:r>
      <w:r>
        <w:rPr>
          <w:rFonts w:ascii="Calibri" w:hAnsi="Calibri" w:eastAsia="Calibri"/>
          <w:b w:val="0"/>
          <w:i/>
          <w:color w:val="000000"/>
          <w:sz w:val="24"/>
        </w:rPr>
        <w:t>Injury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(9), 2543–2550. https://doi.org/10.1016/j.injury.2021.03.049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Milton, Maxine, Engelbrecht, Andreas, &amp; Geyser, Mimi. (2021). Predicting mortality 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patients-A retrospective comparison of the performance of six scoring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systems applied to polytrauma patients from the emergency centre of a South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African central hospital. </w:t>
      </w:r>
      <w:r>
        <w:rPr>
          <w:rFonts w:ascii="Calibri" w:hAnsi="Calibri" w:eastAsia="Calibri"/>
          <w:b w:val="0"/>
          <w:i/>
          <w:color w:val="000000"/>
          <w:sz w:val="24"/>
        </w:rPr>
        <w:t>African Journal of Emergency Medicine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453–458.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Mohammed, Zeinab, Saleh, Yaseen, AbdelSalam, Eman Mohammed, Mohammed,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Norhan B. B., El-Bana, Emad, &amp; Hirshon, Jon Mark. (2022). Evaluation of the Revised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Score, MGAP, and GAP scoring systems in predicting mortality of adult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patients in a low-resource setting. </w:t>
      </w:r>
      <w:r>
        <w:rPr>
          <w:rFonts w:ascii="Calibri" w:hAnsi="Calibri" w:eastAsia="Calibri"/>
          <w:b w:val="0"/>
          <w:i/>
          <w:color w:val="000000"/>
          <w:sz w:val="24"/>
        </w:rPr>
        <w:t>BMC Emergency Medicine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90.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https://doi.org/10.1186/s12873-022-00653-1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Organization, World Health. (2020).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WHO consolidated guidelines on tuberculosis: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tuberculosis preventive treatment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World Health Organization.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Patil, Akkamahadevi, Srinivasarangan, Madhu, Javali, Rameshbabu Homanna, LNU,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Krishnamoorthy, LNU, Suraj, &amp; LNU, Sriharsha. (2019). Comparison of Injury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Severity Score, New Injury Severity Score, Revised Trauma Score and Trauma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Injury Severity Score for Mortality Prediction in Elderly Trauma Patients.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Indian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Journal of Critical Care Medicine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23</w:t>
      </w:r>
      <w:r>
        <w:rPr>
          <w:rFonts w:ascii="Calibri" w:hAnsi="Calibri" w:eastAsia="Calibri"/>
          <w:b w:val="0"/>
          <w:i w:val="0"/>
          <w:color w:val="000000"/>
          <w:sz w:val="24"/>
        </w:rPr>
        <w:t>(2), 73–77. https://doi.org/10.5005/jp-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journals-10071-23120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Vorbeck, Jana, Bachmann, Manuel, Düsing, Helena, &amp; Hartensuer, René. (2023). </w:t>
      </w:r>
    </w:p>
    <w:p>
      <w:pPr>
        <w:autoSpaceDN w:val="0"/>
        <w:autoSpaceDE w:val="0"/>
        <w:widowControl/>
        <w:spacing w:line="197" w:lineRule="auto" w:before="52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Mortality Risk Factors of Severely Injured Polytrauma Patients (Prehospital </w:t>
      </w:r>
    </w:p>
    <w:p>
      <w:pPr>
        <w:autoSpaceDN w:val="0"/>
        <w:tabs>
          <w:tab w:pos="8428" w:val="left"/>
        </w:tabs>
        <w:autoSpaceDE w:val="0"/>
        <w:widowControl/>
        <w:spacing w:line="197" w:lineRule="auto" w:before="107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345 </w:t>
      </w:r>
    </w:p>
    <w:p>
      <w:pPr>
        <w:sectPr>
          <w:pgSz w:w="11899" w:h="16819"/>
          <w:pgMar w:top="382" w:right="1440" w:bottom="3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228" w:right="144" w:hanging="428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Comparison of Sensitivity, Specificity and Accuracy of ISS, RTS, and TRISS Instruments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Predicting Mortality of Trauma Patients </w:t>
      </w:r>
    </w:p>
    <w:p>
      <w:pPr>
        <w:autoSpaceDN w:val="0"/>
        <w:autoSpaceDE w:val="0"/>
        <w:widowControl/>
        <w:spacing w:line="197" w:lineRule="auto" w:before="480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Mortality Prediction Score). </w:t>
      </w:r>
      <w:r>
        <w:rPr>
          <w:rFonts w:ascii="Calibri" w:hAnsi="Calibri" w:eastAsia="Calibri"/>
          <w:b w:val="0"/>
          <w:i/>
          <w:color w:val="000000"/>
          <w:sz w:val="24"/>
        </w:rPr>
        <w:t>Journal of Clinical Medicine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(14), 4724.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https://doi.org/10.3390/jcm12144724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Yadollahi, Mahnaz. (2019). A study of mortality risk factors among trauma referrals to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center, Shiraz, Iran, 2017. </w:t>
      </w:r>
      <w:r>
        <w:rPr>
          <w:rFonts w:ascii="Calibri" w:hAnsi="Calibri" w:eastAsia="Calibri"/>
          <w:b w:val="0"/>
          <w:i/>
          <w:color w:val="000000"/>
          <w:sz w:val="24"/>
        </w:rPr>
        <w:t>Chinese Journal of Traumatology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212–218.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https://doi.org/10.1016/j.cjtee.2019.01.012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Yilmaz, Sarper, Ak, Rohat, Hokenek, Nihat Mujdat, Yilmaz, Erdal, &amp; Tataroglu, Ozlem.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26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(2021). Comparison of trauma scores and total prehospital time in the prediction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clinical course in a plane crash: Does timing matter?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The American Journal of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Emergency Medicine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301–308. https://doi.org/10.1016/j.ajem.2021.08.029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Yuniar, Isma, Suwarsih, Evi, &amp; Setianingsih, Endah. (2021). Revised Trauma Score (RTS)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a Mortality Predictor for Heavy Head Injury Patients (in IGD) PKU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Muhammadiyah Gombong Hospital.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Proceedings of the 2nd Borobudur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Symposium on Humanities and Social Sciences, BIS-HSS 2020, 18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9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38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November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2020,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Magelang,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Central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Java,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Indonesia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197" w:lineRule="auto" w:before="26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https://doi.org/10.4108/eai.18-11-2020.2311691 </w:t>
      </w:r>
    </w:p>
    <w:p>
      <w:pPr>
        <w:autoSpaceDN w:val="0"/>
        <w:autoSpaceDE w:val="0"/>
        <w:widowControl/>
        <w:spacing w:line="245" w:lineRule="auto" w:before="392" w:after="0"/>
        <w:ind w:left="720" w:right="72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Copyright Holder: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Fenny Tianda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Kumboyono Kumboyono Penulis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Suryanto Suryanto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>(2024)</w:t>
      </w:r>
    </w:p>
    <w:p>
      <w:pPr>
        <w:autoSpaceDN w:val="0"/>
        <w:autoSpaceDE w:val="0"/>
        <w:widowControl/>
        <w:spacing w:line="245" w:lineRule="auto" w:before="346" w:after="0"/>
        <w:ind w:left="3312" w:right="331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First Publication Right: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 </w:t>
      </w:r>
    </w:p>
    <w:p>
      <w:pPr>
        <w:autoSpaceDN w:val="0"/>
        <w:autoSpaceDE w:val="0"/>
        <w:widowControl/>
        <w:spacing w:line="197" w:lineRule="auto" w:before="344" w:after="0"/>
        <w:ind w:left="0" w:right="291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article is licensed under: </w:t>
      </w:r>
    </w:p>
    <w:p>
      <w:pPr>
        <w:autoSpaceDN w:val="0"/>
        <w:autoSpaceDE w:val="0"/>
        <w:widowControl/>
        <w:spacing w:line="240" w:lineRule="auto" w:before="4" w:after="26"/>
        <w:ind w:left="0" w:right="37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39469" cy="2971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9469" cy="2971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09"/>
        <w:gridCol w:w="4509"/>
      </w:tblGrid>
      <w:tr>
        <w:trPr>
          <w:trHeight w:hRule="exact" w:val="6634"/>
        </w:trPr>
        <w:tc>
          <w:tcPr>
            <w:tcW w:type="dxa" w:w="8760"/>
            <w:gridSpan w:val="2"/>
            <w:tcBorders>
              <w:top w:sz="6.400000000000091" w:val="single" w:color="#1154C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5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5, May 2024 </w:t>
            </w:r>
          </w:p>
        </w:tc>
        <w:tc>
          <w:tcPr>
            <w:tcW w:type="dxa" w:w="36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19"/>
      <w:pgMar w:top="390" w:right="1440" w:bottom="46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