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2"/>
        <w:ind w:left="0" w:right="0"/>
      </w:pPr>
    </w:p>
    <w:p>
      <w:pPr>
        <w:sectPr>
          <w:pgSz w:w="11909" w:h="16838"/>
          <w:pgMar w:top="802" w:right="1440" w:bottom="354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18690" cy="5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9" w:h="16838"/>
          <w:pgMar w:top="802" w:right="1440" w:bottom="354" w:left="1440" w:header="720" w:footer="720" w:gutter="0"/>
          <w:cols w:num="2" w:equalWidth="0">
            <w:col w:w="4668" w:space="0"/>
            <w:col w:w="4360" w:space="0"/>
          </w:cols>
          <w:docGrid w:linePitch="360"/>
        </w:sectPr>
      </w:pPr>
    </w:p>
    <w:p>
      <w:pPr>
        <w:autoSpaceDN w:val="0"/>
        <w:tabs>
          <w:tab w:pos="1628" w:val="left"/>
        </w:tabs>
        <w:autoSpaceDE w:val="0"/>
        <w:widowControl/>
        <w:spacing w:line="268" w:lineRule="exact" w:before="2" w:after="294"/>
        <w:ind w:left="860" w:right="144" w:firstLine="0"/>
        <w:jc w:val="left"/>
      </w:pP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Volume 5, No. 5 May, 2024 </w:t>
      </w:r>
      <w:r>
        <w:rPr>
          <w:rFonts w:ascii="" w:hAnsi="" w:eastAsia=""/>
          <w:b/>
          <w:i w:val="0"/>
          <w:color w:val="000000"/>
          <w:sz w:val="22"/>
        </w:rPr>
        <w:t>p ISSN 2723-6927-e ISSN 2723-4339</w:t>
      </w:r>
    </w:p>
    <w:p>
      <w:pPr>
        <w:sectPr>
          <w:type w:val="nextColumn"/>
          <w:pgSz w:w="11909" w:h="16838"/>
          <w:pgMar w:top="802" w:right="1440" w:bottom="354" w:left="1440" w:header="720" w:footer="720" w:gutter="0"/>
          <w:cols w:num="2" w:equalWidth="0">
            <w:col w:w="4668" w:space="0"/>
            <w:col w:w="436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44" w:right="144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Comparison of Conventional and Modern Wound Care in Post-Section Wounds at Cut </w:t>
      </w:r>
      <w:r>
        <w:rPr>
          <w:rFonts w:ascii="" w:hAnsi="" w:eastAsia=""/>
          <w:b/>
          <w:i w:val="0"/>
          <w:color w:val="000000"/>
          <w:sz w:val="24"/>
        </w:rPr>
        <w:t xml:space="preserve">Mutia Hospital, North Aceh Regency in 2023 </w:t>
      </w:r>
    </w:p>
    <w:p>
      <w:pPr>
        <w:autoSpaceDN w:val="0"/>
        <w:autoSpaceDE w:val="0"/>
        <w:widowControl/>
        <w:spacing w:line="294" w:lineRule="exact" w:before="290" w:after="0"/>
        <w:ind w:left="1584" w:right="1584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>Yusnidaryani</w:t>
      </w:r>
      <w:r>
        <w:rPr>
          <w:w w:val="98.99999499320984"/>
          <w:rFonts w:ascii="" w:hAnsi="" w:eastAsia=""/>
          <w:b/>
          <w:i w:val="0"/>
          <w:color w:val="000000"/>
          <w:sz w:val="16"/>
        </w:rPr>
        <w:t>1</w:t>
      </w:r>
      <w:r>
        <w:rPr>
          <w:rFonts w:ascii="" w:hAnsi="" w:eastAsia=""/>
          <w:b/>
          <w:i w:val="0"/>
          <w:color w:val="000000"/>
          <w:sz w:val="24"/>
        </w:rPr>
        <w:t>, Said Taufiq</w:t>
      </w:r>
      <w:r>
        <w:rPr>
          <w:w w:val="98.99999499320984"/>
          <w:rFonts w:ascii="" w:hAnsi="" w:eastAsia=""/>
          <w:b/>
          <w:i w:val="0"/>
          <w:color w:val="000000"/>
          <w:sz w:val="16"/>
        </w:rPr>
        <w:t>2</w:t>
      </w:r>
      <w:r>
        <w:rPr>
          <w:rFonts w:ascii="" w:hAnsi="" w:eastAsia=""/>
          <w:b/>
          <w:i w:val="0"/>
          <w:color w:val="000000"/>
          <w:sz w:val="24"/>
        </w:rPr>
        <w:t>, Marlina</w:t>
      </w:r>
      <w:r>
        <w:rPr>
          <w:w w:val="98.99999499320984"/>
          <w:rFonts w:ascii="" w:hAnsi="" w:eastAsia=""/>
          <w:b/>
          <w:i w:val="0"/>
          <w:color w:val="000000"/>
          <w:sz w:val="16"/>
        </w:rPr>
        <w:t>3</w:t>
      </w:r>
      <w:r>
        <w:rPr>
          <w:rFonts w:ascii="" w:hAnsi="" w:eastAsia=""/>
          <w:b/>
          <w:i w:val="0"/>
          <w:color w:val="000000"/>
          <w:sz w:val="24"/>
        </w:rPr>
        <w:t>, M. Jamil Fauzi</w:t>
      </w:r>
      <w:r>
        <w:rPr>
          <w:w w:val="98.99999499320984"/>
          <w:rFonts w:ascii="" w:hAnsi="" w:eastAsia=""/>
          <w:b/>
          <w:i w:val="0"/>
          <w:color w:val="000000"/>
          <w:sz w:val="16"/>
        </w:rPr>
        <w:t xml:space="preserve">4 </w:t>
      </w:r>
      <w:r>
        <w:br/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>1,2,3,4</w:t>
      </w:r>
      <w:r>
        <w:rPr>
          <w:rFonts w:ascii="" w:hAnsi="" w:eastAsia=""/>
          <w:b w:val="0"/>
          <w:i w:val="0"/>
          <w:color w:val="000000"/>
          <w:sz w:val="24"/>
        </w:rPr>
        <w:t>Health Poly</w:t>
      </w:r>
      <w:r>
        <w:rPr>
          <w:rFonts w:ascii="" w:hAnsi="" w:eastAsia="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technic Ministry of Health, Aceh, </w:t>
          </w:r>
        </w:hyperlink>
      </w:r>
      <w:r>
        <w:rPr>
          <w:rFonts w:ascii="" w:hAnsi="" w:eastAsia=""/>
          <w:b w:val="0"/>
          <w:i w:val="0"/>
          <w:color w:val="000000"/>
          <w:sz w:val="24"/>
        </w:rPr>
        <w:t xml:space="preserve">Indonesia </w:t>
      </w:r>
      <w:r>
        <w:rPr>
          <w:rFonts w:ascii="" w:hAnsi="" w:eastAsia=""/>
          <w:b w:val="0"/>
          <w:i w:val="0"/>
          <w:color w:val="000000"/>
          <w:sz w:val="24"/>
        </w:rPr>
        <w:t>Email:</w:t>
      </w:r>
      <w:r>
        <w:rPr>
          <w:rFonts w:ascii="" w:hAnsi="" w:eastAsia=""/>
          <w:b w:val="0"/>
          <w:i w:val="0"/>
          <w:color w:val="000000"/>
          <w:sz w:val="24"/>
        </w:rPr>
        <w:t xml:space="preserve">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said.taufiq@poltekkesaceh.ac.id</w:t>
          </w:r>
        </w:hyperlink>
      </w:r>
    </w:p>
    <w:p>
      <w:pPr>
        <w:autoSpaceDN w:val="0"/>
        <w:autoSpaceDE w:val="0"/>
        <w:widowControl/>
        <w:spacing w:line="292" w:lineRule="exact" w:before="298" w:after="0"/>
        <w:ind w:left="260" w:right="144" w:hanging="2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ABSTRACT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The World Health Organization (WHO) sets the average cesarean sections (CS) standard </w:t>
      </w:r>
      <w:r>
        <w:rPr>
          <w:rFonts w:ascii="" w:hAnsi="" w:eastAsia=""/>
          <w:b w:val="0"/>
          <w:i w:val="0"/>
          <w:color w:val="000000"/>
          <w:sz w:val="24"/>
        </w:rPr>
        <w:t xml:space="preserve">at 5-15% per 1000 births. However, cesarean section rates in private hospitals exceed </w:t>
      </w:r>
      <w:r>
        <w:rPr>
          <w:rFonts w:ascii="" w:hAnsi="" w:eastAsia=""/>
          <w:b w:val="0"/>
          <w:i w:val="0"/>
          <w:color w:val="000000"/>
          <w:sz w:val="24"/>
        </w:rPr>
        <w:t xml:space="preserve">30%, compared to 11% in government hospitals. This study investigates the prevalence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complications of surgical wound infections post-cesarean section and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effectiveness of modern wound dressing techniques in reducing these infections. Data </w:t>
      </w:r>
      <w:r>
        <w:rPr>
          <w:rFonts w:ascii="" w:hAnsi="" w:eastAsia=""/>
          <w:b w:val="0"/>
          <w:i w:val="0"/>
          <w:color w:val="000000"/>
          <w:sz w:val="24"/>
        </w:rPr>
        <w:t>analysis reveals cesarean wound infections occur during hospitalization (27%), re-</w:t>
      </w:r>
      <w:r>
        <w:rPr>
          <w:rFonts w:ascii="" w:hAnsi="" w:eastAsia=""/>
          <w:b w:val="0"/>
          <w:i w:val="0"/>
          <w:color w:val="000000"/>
          <w:sz w:val="24"/>
        </w:rPr>
        <w:t xml:space="preserve">admission (1%), and post-discharge (71%). Surgical wound infections (SWI) significantly </w:t>
      </w:r>
      <w:r>
        <w:rPr>
          <w:rFonts w:ascii="" w:hAnsi="" w:eastAsia=""/>
          <w:b w:val="0"/>
          <w:i w:val="0"/>
          <w:color w:val="000000"/>
          <w:sz w:val="24"/>
        </w:rPr>
        <w:t xml:space="preserve">increase morbidity, treatment duration, and healthcare costs, with a direct death rate </w:t>
      </w:r>
      <w:r>
        <w:rPr>
          <w:rFonts w:ascii="" w:hAnsi="" w:eastAsia=""/>
          <w:b w:val="0"/>
          <w:i w:val="0"/>
          <w:color w:val="000000"/>
          <w:sz w:val="24"/>
        </w:rPr>
        <w:t xml:space="preserve">ranging from 3% to 75% globally. The study evaluated modern wound dressings </w:t>
      </w:r>
      <w:r>
        <w:rPr>
          <w:rFonts w:ascii="" w:hAnsi="" w:eastAsia=""/>
          <w:b w:val="0"/>
          <w:i w:val="0"/>
          <w:color w:val="000000"/>
          <w:sz w:val="24"/>
        </w:rPr>
        <w:t xml:space="preserve">adhering to "moist wound healing" principles, such as hydrocolloids, alginate, and foam, </w:t>
      </w:r>
      <w:r>
        <w:rPr>
          <w:rFonts w:ascii="" w:hAnsi="" w:eastAsia=""/>
          <w:b w:val="0"/>
          <w:i w:val="0"/>
          <w:color w:val="000000"/>
          <w:sz w:val="24"/>
        </w:rPr>
        <w:t xml:space="preserve">which maintain a moist environment to enhance epithelial cell proliferation, accelerate </w:t>
      </w:r>
      <w:r>
        <w:rPr>
          <w:rFonts w:ascii="" w:hAnsi="" w:eastAsia=""/>
          <w:b w:val="0"/>
          <w:i w:val="0"/>
          <w:color w:val="000000"/>
          <w:sz w:val="24"/>
        </w:rPr>
        <w:t xml:space="preserve">wound healing, and reduce scarring. Findings indicate that moist wound dressings </w:t>
      </w:r>
      <w:r>
        <w:rPr>
          <w:rFonts w:ascii="" w:hAnsi="" w:eastAsia=""/>
          <w:b w:val="0"/>
          <w:i w:val="0"/>
          <w:color w:val="000000"/>
          <w:sz w:val="24"/>
        </w:rPr>
        <w:t xml:space="preserve">significantly improve healing outcomes, promoting epithelialization and collagen </w:t>
      </w:r>
      <w:r>
        <w:rPr>
          <w:rFonts w:ascii="" w:hAnsi="" w:eastAsia=""/>
          <w:b w:val="0"/>
          <w:i w:val="0"/>
          <w:color w:val="000000"/>
          <w:sz w:val="24"/>
        </w:rPr>
        <w:t xml:space="preserve">synthesis, with techniques showing a 30-50% increase in epithelialization and a 2-5 </w:t>
      </w:r>
      <w:r>
        <w:rPr>
          <w:rFonts w:ascii="" w:hAnsi="" w:eastAsia=""/>
          <w:b w:val="0"/>
          <w:i w:val="0"/>
          <w:color w:val="000000"/>
          <w:sz w:val="24"/>
        </w:rPr>
        <w:t xml:space="preserve">times faster re-epithelialization rate. These results highlight the need for adopting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advanced wound care techniques to reduce surgical wound infections and improve </w:t>
      </w:r>
      <w:r>
        <w:rPr>
          <w:rFonts w:ascii="" w:hAnsi="" w:eastAsia=""/>
          <w:b w:val="0"/>
          <w:i w:val="0"/>
          <w:color w:val="000000"/>
          <w:sz w:val="24"/>
        </w:rPr>
        <w:t xml:space="preserve">patient recovery post-cesarean section. The study implies that healthcare providers </w:t>
      </w:r>
      <w:r>
        <w:rPr>
          <w:rFonts w:ascii="" w:hAnsi="" w:eastAsia=""/>
          <w:b w:val="0"/>
          <w:i w:val="0"/>
          <w:color w:val="000000"/>
          <w:sz w:val="24"/>
        </w:rPr>
        <w:t xml:space="preserve">should integrate modern wound care practices to enhance maternal health outcomes </w:t>
      </w:r>
      <w:r>
        <w:rPr>
          <w:rFonts w:ascii="" w:hAnsi="" w:eastAsia=""/>
          <w:b w:val="0"/>
          <w:i w:val="0"/>
          <w:color w:val="000000"/>
          <w:sz w:val="24"/>
        </w:rPr>
        <w:t xml:space="preserve">globally. </w:t>
      </w:r>
    </w:p>
    <w:p>
      <w:pPr>
        <w:autoSpaceDN w:val="0"/>
        <w:autoSpaceDE w:val="0"/>
        <w:widowControl/>
        <w:spacing w:line="294" w:lineRule="exact" w:before="292" w:after="0"/>
        <w:ind w:left="260" w:right="0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Keywords: </w:t>
      </w:r>
      <w:r>
        <w:rPr>
          <w:rFonts w:ascii="" w:hAnsi="" w:eastAsia=""/>
          <w:b w:val="0"/>
          <w:i w:val="0"/>
          <w:color w:val="000000"/>
          <w:sz w:val="24"/>
        </w:rPr>
        <w:t xml:space="preserve">cesarean section, </w:t>
      </w:r>
      <w:r>
        <w:rPr>
          <w:rFonts w:ascii="" w:hAnsi="" w:eastAsia=""/>
          <w:b w:val="0"/>
          <w:i w:val="0"/>
          <w:color w:val="221E20"/>
          <w:sz w:val="24"/>
        </w:rPr>
        <w:t>conventional wound care, modern wound care</w:t>
      </w:r>
    </w:p>
    <w:p>
      <w:pPr>
        <w:autoSpaceDN w:val="0"/>
        <w:tabs>
          <w:tab w:pos="826" w:val="left"/>
        </w:tabs>
        <w:autoSpaceDE w:val="0"/>
        <w:widowControl/>
        <w:spacing w:line="294" w:lineRule="exact" w:before="292" w:after="0"/>
        <w:ind w:left="26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INTRODUCTION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WHO sets the average standard for cesarean section in a country is around 5-15% </w:t>
      </w:r>
      <w:r>
        <w:rPr>
          <w:rFonts w:ascii="" w:hAnsi="" w:eastAsia=""/>
          <w:b w:val="0"/>
          <w:i w:val="0"/>
          <w:color w:val="000000"/>
          <w:sz w:val="24"/>
        </w:rPr>
        <w:t xml:space="preserve">per 1000 births (Ko et al., 2024). The proportion of cesarean section services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government hospitals is approximately 11%, while in private hospitals, it is more than </w:t>
      </w:r>
      <w:r>
        <w:rPr>
          <w:rFonts w:ascii="" w:hAnsi="" w:eastAsia=""/>
          <w:b w:val="0"/>
          <w:i w:val="0"/>
          <w:color w:val="000000"/>
          <w:sz w:val="24"/>
        </w:rPr>
        <w:t xml:space="preserve">30% (Moquillaza-Alcantara &amp; Palacios-Vivanco, 2023). According to WHO, the increase </w:t>
      </w:r>
      <w:r>
        <w:rPr>
          <w:rFonts w:ascii="" w:hAnsi="" w:eastAsia=""/>
          <w:b w:val="0"/>
          <w:i w:val="0"/>
          <w:color w:val="000000"/>
          <w:sz w:val="24"/>
        </w:rPr>
        <w:t xml:space="preserve">in deliveries by cesarean section in all countries during 2017-2018 was 110,000 per birth </w:t>
      </w:r>
      <w:r>
        <w:rPr>
          <w:rFonts w:ascii="" w:hAnsi="" w:eastAsia=""/>
          <w:b w:val="0"/>
          <w:i w:val="0"/>
          <w:color w:val="000000"/>
          <w:sz w:val="24"/>
        </w:rPr>
        <w:t xml:space="preserve">throughout Asia (Mattocks et al., 2024). The existing cesarean section delivery rate is </w:t>
      </w:r>
      <w:r>
        <w:rPr>
          <w:rFonts w:ascii="" w:hAnsi="" w:eastAsia=""/>
          <w:b w:val="0"/>
          <w:i w:val="0"/>
          <w:color w:val="000000"/>
          <w:sz w:val="24"/>
        </w:rPr>
        <w:t xml:space="preserve">actually too high, so there are various efforts to reduce it due to the increase in maternal </w:t>
      </w:r>
      <w:r>
        <w:rPr>
          <w:rFonts w:ascii="" w:hAnsi="" w:eastAsia=""/>
          <w:b w:val="0"/>
          <w:i w:val="0"/>
          <w:color w:val="000000"/>
          <w:sz w:val="24"/>
        </w:rPr>
        <w:t xml:space="preserve">morbidity and morbidity (Ko et al., 2024). </w:t>
      </w:r>
    </w:p>
    <w:p>
      <w:pPr>
        <w:autoSpaceDN w:val="0"/>
        <w:autoSpaceDE w:val="0"/>
        <w:widowControl/>
        <w:spacing w:line="292" w:lineRule="exact" w:before="2" w:after="0"/>
        <w:ind w:left="260" w:right="210" w:firstLine="566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Odada et al. (2024) research on incision wound infections of cesarean section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distinguishes infections based on the time of infection; the first infection is an infection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that occurs when the patient is in the hospital with a total of 27%, the second infection </w:t>
      </w:r>
      <w:r>
        <w:rPr>
          <w:rFonts w:ascii="" w:hAnsi="" w:eastAsia=""/>
          <w:b w:val="0"/>
          <w:i w:val="0"/>
          <w:color w:val="000000"/>
          <w:sz w:val="24"/>
        </w:rPr>
        <w:t>that occurs during re-admission</w:t>
      </w:r>
      <w:r>
        <w:rPr>
          <w:rFonts w:ascii="" w:hAnsi="" w:eastAsia=""/>
          <w:b w:val="0"/>
          <w:i w:val="0"/>
          <w:color w:val="000000"/>
          <w:sz w:val="24"/>
        </w:rPr>
        <w:t xml:space="preserve">is 1%, and the largest infection case is after the patient </w:t>
      </w:r>
    </w:p>
    <w:p>
      <w:pPr>
        <w:autoSpaceDN w:val="0"/>
        <w:tabs>
          <w:tab w:pos="8400" w:val="left"/>
        </w:tabs>
        <w:autoSpaceDE w:val="0"/>
        <w:widowControl/>
        <w:spacing w:line="292" w:lineRule="exact" w:before="706" w:after="0"/>
        <w:ind w:left="258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Journal of Health Science, Vol. 5, No. 5, May 2024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354 </w:t>
      </w:r>
    </w:p>
    <w:p>
      <w:pPr>
        <w:sectPr>
          <w:type w:val="continuous"/>
          <w:pgSz w:w="11909" w:h="16838"/>
          <w:pgMar w:top="802" w:right="1440" w:bottom="3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92" w:lineRule="exact" w:before="2" w:after="0"/>
        <w:ind w:left="4452" w:right="144" w:hanging="40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Comparison of Conventional and Modern Wound Care in Post-Section Wounds at Cut </w:t>
      </w:r>
      <w:r>
        <w:rPr>
          <w:rFonts w:ascii="" w:hAnsi="" w:eastAsia=""/>
          <w:b w:val="0"/>
          <w:i w:val="0"/>
          <w:color w:val="000000"/>
          <w:sz w:val="24"/>
        </w:rPr>
        <w:t xml:space="preserve">Mutia Hospital, North Aceh Regency in 2023 </w:t>
      </w:r>
    </w:p>
    <w:p>
      <w:pPr>
        <w:autoSpaceDN w:val="0"/>
        <w:autoSpaceDE w:val="0"/>
        <w:widowControl/>
        <w:spacing w:line="294" w:lineRule="exact" w:before="402" w:after="0"/>
        <w:ind w:left="260" w:right="210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is discharged from the hospital with an incidence rate of 71% (Zhang et al., 2023). </w:t>
      </w:r>
      <w:r>
        <w:rPr>
          <w:rFonts w:ascii="" w:hAnsi="" w:eastAsia=""/>
          <w:b w:val="0"/>
          <w:i w:val="0"/>
          <w:color w:val="000000"/>
          <w:sz w:val="24"/>
        </w:rPr>
        <w:t xml:space="preserve">Surgical wound infection (ILO) is one of the post-surgical complications that is a serious </w:t>
      </w:r>
      <w:r>
        <w:rPr>
          <w:rFonts w:ascii="" w:hAnsi="" w:eastAsia=""/>
          <w:b w:val="0"/>
          <w:i w:val="0"/>
          <w:color w:val="000000"/>
          <w:sz w:val="24"/>
        </w:rPr>
        <w:t xml:space="preserve">problem because it can increase morbidity and length of treatment, which will certainly </w:t>
      </w:r>
      <w:r>
        <w:rPr>
          <w:rFonts w:ascii="" w:hAnsi="" w:eastAsia=""/>
          <w:b w:val="0"/>
          <w:i w:val="0"/>
          <w:color w:val="000000"/>
          <w:sz w:val="24"/>
        </w:rPr>
        <w:t xml:space="preserve">increase costs, possibly resulting in disability to death (De La Tejera et al., 2023; Galosi </w:t>
      </w:r>
      <w:r>
        <w:rPr>
          <w:rFonts w:ascii="" w:hAnsi="" w:eastAsia=""/>
          <w:b w:val="0"/>
          <w:i w:val="0"/>
          <w:color w:val="000000"/>
          <w:sz w:val="24"/>
        </w:rPr>
        <w:t xml:space="preserve">et al., 2024; Peter &amp; Ali Seif, 2022). Directly related death rates from the ILO range from </w:t>
      </w:r>
      <w:r>
        <w:rPr>
          <w:rFonts w:ascii="" w:hAnsi="" w:eastAsia=""/>
          <w:b w:val="0"/>
          <w:i w:val="0"/>
          <w:color w:val="000000"/>
          <w:sz w:val="24"/>
        </w:rPr>
        <w:t xml:space="preserve">3% to 75% in hospitals worldwide (Li et al., 2020). The incidence of ILO in hospitals </w:t>
      </w:r>
      <w:r>
        <w:rPr>
          <w:rFonts w:ascii="" w:hAnsi="" w:eastAsia=""/>
          <w:b w:val="0"/>
          <w:i w:val="0"/>
          <w:color w:val="000000"/>
          <w:sz w:val="24"/>
        </w:rPr>
        <w:t xml:space="preserve">worldwide has increased from 1.2 cases per 100 surgical procedures to 23.6 cases per </w:t>
      </w:r>
      <w:r>
        <w:rPr>
          <w:rFonts w:ascii="" w:hAnsi="" w:eastAsia=""/>
          <w:b w:val="0"/>
          <w:i w:val="0"/>
          <w:color w:val="000000"/>
          <w:sz w:val="24"/>
        </w:rPr>
        <w:t xml:space="preserve">100 surgical procedures (Kivimäki et al., 2020). </w:t>
      </w:r>
    </w:p>
    <w:p>
      <w:pPr>
        <w:autoSpaceDN w:val="0"/>
        <w:autoSpaceDE w:val="0"/>
        <w:widowControl/>
        <w:spacing w:line="292" w:lineRule="exact" w:before="2" w:after="0"/>
        <w:ind w:left="260" w:right="144" w:firstLine="566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The rapid development of wound care today is the use of dressings</w:t>
      </w:r>
      <w:r>
        <w:rPr>
          <w:rFonts w:ascii="" w:hAnsi="" w:eastAsia=""/>
          <w:b w:val="0"/>
          <w:i w:val="0"/>
          <w:color w:val="000000"/>
          <w:sz w:val="24"/>
        </w:rPr>
        <w:t xml:space="preserve">or dressings </w:t>
      </w:r>
      <w:r>
        <w:rPr>
          <w:rFonts w:ascii="" w:hAnsi="" w:eastAsia=""/>
          <w:b w:val="0"/>
          <w:i w:val="0"/>
          <w:color w:val="000000"/>
          <w:sz w:val="24"/>
        </w:rPr>
        <w:t xml:space="preserve">based on measuring the level of existing cost capabilities, of course, adjusted to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principle of wound care, which is to maintain the physiology of moisture in the wound </w:t>
      </w:r>
      <w:r>
        <w:rPr>
          <w:rFonts w:ascii="" w:hAnsi="" w:eastAsia=""/>
          <w:b w:val="0"/>
          <w:i w:val="0"/>
          <w:color w:val="000000"/>
          <w:sz w:val="24"/>
        </w:rPr>
        <w:t xml:space="preserve">environment so that it can trigger the tissue repair process (Galosi et al., 2024; Xu et al., </w:t>
      </w:r>
      <w:r>
        <w:rPr>
          <w:rFonts w:ascii="" w:hAnsi="" w:eastAsia=""/>
          <w:b w:val="0"/>
          <w:i w:val="0"/>
          <w:color w:val="000000"/>
          <w:sz w:val="24"/>
        </w:rPr>
        <w:t>2024). The application of wound care is</w:t>
      </w:r>
      <w:r>
        <w:rPr>
          <w:rFonts w:ascii="" w:hAnsi="" w:eastAsia=""/>
          <w:b w:val="0"/>
          <w:i w:val="0"/>
          <w:color w:val="000000"/>
          <w:sz w:val="24"/>
        </w:rPr>
        <w:t xml:space="preserve">more based on the findings with a </w:t>
      </w:r>
      <w:r>
        <w:rPr>
          <w:rFonts w:ascii="" w:hAnsi="" w:eastAsia=""/>
          <w:b w:val="0"/>
          <w:i w:val="0"/>
          <w:color w:val="000000"/>
          <w:sz w:val="24"/>
        </w:rPr>
        <w:t>multidisciplinary approach, with the principles of "moist wound healing,</w:t>
      </w:r>
      <w:r>
        <w:rPr>
          <w:rFonts w:ascii="" w:hAnsi="" w:eastAsia=""/>
          <w:b w:val="0"/>
          <w:i/>
          <w:color w:val="000000"/>
          <w:sz w:val="24"/>
        </w:rPr>
        <w:t>"</w:t>
      </w:r>
      <w:r>
        <w:rPr>
          <w:rFonts w:ascii="" w:hAnsi="" w:eastAsia=""/>
          <w:b w:val="0"/>
          <w:i w:val="0"/>
          <w:color w:val="000000"/>
          <w:sz w:val="24"/>
        </w:rPr>
        <w:t xml:space="preserve"> "advance </w:t>
      </w:r>
      <w:r>
        <w:rPr>
          <w:rFonts w:ascii="" w:hAnsi="" w:eastAsia=""/>
          <w:b w:val="0"/>
          <w:i w:val="0"/>
          <w:color w:val="000000"/>
          <w:sz w:val="24"/>
        </w:rPr>
        <w:t>wound healing,</w:t>
      </w:r>
      <w:r>
        <w:rPr>
          <w:rFonts w:ascii="" w:hAnsi="" w:eastAsia=""/>
          <w:b w:val="0"/>
          <w:i/>
          <w:color w:val="000000"/>
          <w:sz w:val="24"/>
        </w:rPr>
        <w:t>"</w:t>
      </w:r>
      <w:r>
        <w:rPr>
          <w:rFonts w:ascii="" w:hAnsi="" w:eastAsia=""/>
          <w:b w:val="0"/>
          <w:i w:val="0"/>
          <w:color w:val="000000"/>
          <w:sz w:val="24"/>
        </w:rPr>
        <w:t xml:space="preserve"> a moist wound environment that can send epithelial cell migration, re-</w:t>
      </w:r>
      <w:r>
        <w:rPr>
          <w:rFonts w:ascii="" w:hAnsi="" w:eastAsia=""/>
          <w:b w:val="0"/>
          <w:i w:val="0"/>
          <w:color w:val="000000"/>
          <w:sz w:val="24"/>
        </w:rPr>
        <w:t xml:space="preserve">epithelialization, wound contraction, tissue growth, adequate debridement, clean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sterile techniques that adjust the condition of the wound (Kaminsky et al., 2022; Ou et </w:t>
      </w:r>
      <w:r>
        <w:rPr>
          <w:rFonts w:ascii="" w:hAnsi="" w:eastAsia=""/>
          <w:b w:val="0"/>
          <w:i w:val="0"/>
          <w:color w:val="000000"/>
          <w:sz w:val="24"/>
        </w:rPr>
        <w:t>al., 2024). Modern wound dressing</w:t>
      </w:r>
      <w:r>
        <w:rPr>
          <w:rFonts w:ascii="" w:hAnsi="" w:eastAsia=""/>
          <w:b w:val="0"/>
          <w:i w:val="0"/>
          <w:color w:val="000000"/>
          <w:sz w:val="24"/>
        </w:rPr>
        <w:t xml:space="preserve">is a wound care technique that is starting to be </w:t>
      </w:r>
      <w:r>
        <w:rPr>
          <w:rFonts w:ascii="" w:hAnsi="" w:eastAsia=""/>
          <w:b w:val="0"/>
          <w:i w:val="0"/>
          <w:color w:val="000000"/>
          <w:sz w:val="24"/>
        </w:rPr>
        <w:t xml:space="preserve">widely used today, using the principle of "moist.” This gives wound tissue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opportunity to proliferate, namely by carrying out cell repair cycles (Arendsen et al., </w:t>
      </w:r>
      <w:r>
        <w:rPr>
          <w:rFonts w:ascii="" w:hAnsi="" w:eastAsia=""/>
          <w:b w:val="0"/>
          <w:i w:val="0"/>
          <w:color w:val="000000"/>
          <w:sz w:val="24"/>
        </w:rPr>
        <w:t xml:space="preserve">2020; Ghosh et al., 2023). </w:t>
      </w:r>
    </w:p>
    <w:p>
      <w:pPr>
        <w:autoSpaceDN w:val="0"/>
        <w:autoSpaceDE w:val="0"/>
        <w:widowControl/>
        <w:spacing w:line="292" w:lineRule="exact" w:before="2" w:after="0"/>
        <w:ind w:left="260" w:right="210" w:firstLine="566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The use of bandages focuses on dressings that are moist so that they are effective </w:t>
      </w:r>
      <w:r>
        <w:rPr>
          <w:rFonts w:ascii="" w:hAnsi="" w:eastAsia=""/>
          <w:b w:val="0"/>
          <w:i w:val="0"/>
          <w:color w:val="000000"/>
          <w:sz w:val="24"/>
        </w:rPr>
        <w:t xml:space="preserve">for healing wounds. The dressing does not inhibit the flow of oxygen, nitrogen, and other </w:t>
      </w:r>
      <w:r>
        <w:rPr>
          <w:rFonts w:ascii="" w:hAnsi="" w:eastAsia=""/>
          <w:b w:val="0"/>
          <w:i w:val="0"/>
          <w:color w:val="000000"/>
          <w:sz w:val="24"/>
        </w:rPr>
        <w:t xml:space="preserve">airborne substances (Kholeif et al., 2024). The selection of dressing is a very important </w:t>
      </w:r>
      <w:r>
        <w:rPr>
          <w:rFonts w:ascii="" w:hAnsi="" w:eastAsia=""/>
          <w:b w:val="0"/>
          <w:i w:val="0"/>
          <w:color w:val="000000"/>
          <w:sz w:val="24"/>
        </w:rPr>
        <w:t xml:space="preserve">stage in speeding up the wound healing process. Wound dressing, in particular, has </w:t>
      </w:r>
      <w:r>
        <w:rPr>
          <w:rFonts w:ascii="" w:hAnsi="" w:eastAsia=""/>
          <w:b w:val="0"/>
          <w:i w:val="0"/>
          <w:color w:val="000000"/>
          <w:sz w:val="24"/>
        </w:rPr>
        <w:t xml:space="preserve">undergone very rapid development. Currently, many wound dressing techniques have </w:t>
      </w:r>
      <w:r>
        <w:rPr>
          <w:rFonts w:ascii="" w:hAnsi="" w:eastAsia=""/>
          <w:b w:val="0"/>
          <w:i w:val="0"/>
          <w:color w:val="000000"/>
          <w:sz w:val="24"/>
        </w:rPr>
        <w:t xml:space="preserve">been developed, such as </w:t>
      </w:r>
      <w:r>
        <w:rPr>
          <w:rFonts w:ascii="" w:hAnsi="" w:eastAsia=""/>
          <w:b w:val="0"/>
          <w:i/>
          <w:color w:val="000000"/>
          <w:sz w:val="24"/>
        </w:rPr>
        <w:t xml:space="preserve">transparent film dressings, hydrocolloids, alginate,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</w:t>
      </w:r>
      <w:r>
        <w:rPr>
          <w:rFonts w:ascii="" w:hAnsi="" w:eastAsia=""/>
          <w:b w:val="0"/>
          <w:i/>
          <w:color w:val="000000"/>
          <w:sz w:val="24"/>
        </w:rPr>
        <w:t xml:space="preserve">foam </w:t>
      </w:r>
      <w:r>
        <w:rPr>
          <w:rFonts w:ascii="" w:hAnsi="" w:eastAsia=""/>
          <w:b w:val="0"/>
          <w:i/>
          <w:color w:val="000000"/>
          <w:sz w:val="24"/>
        </w:rPr>
        <w:t xml:space="preserve">dressings </w:t>
      </w:r>
      <w:r>
        <w:rPr>
          <w:rFonts w:ascii="" w:hAnsi="" w:eastAsia=""/>
          <w:b w:val="0"/>
          <w:i w:val="0"/>
          <w:color w:val="000000"/>
          <w:sz w:val="24"/>
        </w:rPr>
        <w:t>(Eskandarinia et al., 2024; N. M. Noor et al., 2024)</w:t>
      </w:r>
      <w:r>
        <w:rPr>
          <w:rFonts w:ascii="" w:hAnsi="" w:eastAsia=""/>
          <w:b w:val="0"/>
          <w:i/>
          <w:color w:val="000000"/>
          <w:sz w:val="24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260" w:right="208" w:firstLine="566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Research results of Tian et al. (2024) use the concept of wound care by maintaining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 environment around the wound to stay moist by using a moisture-retaining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bandage. It clinically has the advantage of increasing the proliferation and migration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epithelial cells around a thin layer of water, reducing the risk of scarring and others. </w:t>
      </w:r>
      <w:r>
        <w:rPr>
          <w:rFonts w:ascii="" w:hAnsi="" w:eastAsia=""/>
          <w:b w:val="0"/>
          <w:i w:val="0"/>
          <w:color w:val="000000"/>
          <w:sz w:val="24"/>
        </w:rPr>
        <w:t xml:space="preserve">Some of the advantages of this method compared to dry wound conditions are </w:t>
      </w:r>
      <w:r>
        <w:rPr>
          <w:rFonts w:ascii="" w:hAnsi="" w:eastAsia=""/>
          <w:b w:val="0"/>
          <w:i w:val="0"/>
          <w:color w:val="000000"/>
          <w:sz w:val="24"/>
        </w:rPr>
        <w:t xml:space="preserve">increasing epithelialization by 30-50%, increasing collagen synthesis by 50%, and, on </w:t>
      </w:r>
      <w:r>
        <w:rPr>
          <w:rFonts w:ascii="" w:hAnsi="" w:eastAsia=""/>
          <w:b w:val="0"/>
          <w:i w:val="0"/>
          <w:color w:val="000000"/>
          <w:sz w:val="24"/>
        </w:rPr>
        <w:t xml:space="preserve">average, re-epithelialization with moisture 2-5 times faster, and can reduce fluid loss </w:t>
      </w:r>
      <w:r>
        <w:rPr>
          <w:rFonts w:ascii="" w:hAnsi="" w:eastAsia=""/>
          <w:b w:val="0"/>
          <w:i w:val="0"/>
          <w:color w:val="000000"/>
          <w:sz w:val="24"/>
        </w:rPr>
        <w:t xml:space="preserve">from above the wound surface (Flora et al., 2023; H. Noor et al., 2023). </w:t>
      </w:r>
    </w:p>
    <w:p>
      <w:pPr>
        <w:autoSpaceDN w:val="0"/>
        <w:autoSpaceDE w:val="0"/>
        <w:widowControl/>
        <w:spacing w:line="292" w:lineRule="exact" w:before="0" w:after="0"/>
        <w:ind w:left="260" w:right="208" w:firstLine="566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What makes this study distinct is its detailed examination of the clinical benefits </w:t>
      </w:r>
      <w:r>
        <w:rPr>
          <w:rFonts w:ascii="" w:hAnsi="" w:eastAsia=""/>
          <w:b w:val="0"/>
          <w:i w:val="0"/>
          <w:color w:val="000000"/>
          <w:sz w:val="24"/>
        </w:rPr>
        <w:t xml:space="preserve">of moisture-retaining bandages, which has not been comprehensively explored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previous research. The study provides quantitative data on the improvements in </w:t>
      </w:r>
      <w:r>
        <w:rPr>
          <w:rFonts w:ascii="" w:hAnsi="" w:eastAsia=""/>
          <w:b w:val="0"/>
          <w:i w:val="0"/>
          <w:color w:val="000000"/>
          <w:sz w:val="24"/>
        </w:rPr>
        <w:t xml:space="preserve">epithelialization and collagen synthesis, as well as the reduction in fluid loss, </w:t>
      </w:r>
      <w:r>
        <w:rPr>
          <w:rFonts w:ascii="" w:hAnsi="" w:eastAsia=""/>
          <w:b w:val="0"/>
          <w:i w:val="0"/>
          <w:color w:val="000000"/>
          <w:sz w:val="24"/>
        </w:rPr>
        <w:t xml:space="preserve">demonstrating clear advantages over traditional dry wound healing methods. The aim </w:t>
      </w:r>
      <w:r>
        <w:rPr>
          <w:rFonts w:ascii="" w:hAnsi="" w:eastAsia=""/>
          <w:b w:val="0"/>
          <w:i w:val="0"/>
          <w:color w:val="000000"/>
          <w:sz w:val="24"/>
        </w:rPr>
        <w:t xml:space="preserve">of this study is to investigate the efficacy of moisture-retaining bandages in wound </w:t>
      </w:r>
      <w:r>
        <w:rPr>
          <w:rFonts w:ascii="" w:hAnsi="" w:eastAsia=""/>
          <w:b w:val="0"/>
          <w:i w:val="0"/>
          <w:color w:val="000000"/>
          <w:sz w:val="24"/>
        </w:rPr>
        <w:t xml:space="preserve">healing, specifically focusing on their ability to enhance epithelial cell proliferation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migration, increase collagen synthesis, and speed up re-epithelialization while reducing </w:t>
      </w:r>
    </w:p>
    <w:p>
      <w:pPr>
        <w:autoSpaceDN w:val="0"/>
        <w:tabs>
          <w:tab w:pos="8400" w:val="left"/>
        </w:tabs>
        <w:autoSpaceDE w:val="0"/>
        <w:widowControl/>
        <w:spacing w:line="292" w:lineRule="exact" w:before="1244" w:after="0"/>
        <w:ind w:left="258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Journal of Health Science, Vol. 5, No. 5, May 2024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355 </w:t>
      </w:r>
    </w:p>
    <w:p>
      <w:pPr>
        <w:sectPr>
          <w:pgSz w:w="11909" w:h="16838"/>
          <w:pgMar w:top="356" w:right="1440" w:bottom="3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26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Yusnidaryani, Said Taufiq, Marlina, M. Jamil Fauzi </w:t>
      </w:r>
    </w:p>
    <w:p>
      <w:pPr>
        <w:autoSpaceDN w:val="0"/>
        <w:autoSpaceDE w:val="0"/>
        <w:widowControl/>
        <w:spacing w:line="292" w:lineRule="exact" w:before="696" w:after="0"/>
        <w:ind w:left="26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scarring and fluid loss. The study seeks to establish the clinical advantages of this </w:t>
      </w:r>
      <w:r>
        <w:rPr>
          <w:rFonts w:ascii="" w:hAnsi="" w:eastAsia=""/>
          <w:b w:val="0"/>
          <w:i w:val="0"/>
          <w:color w:val="000000"/>
          <w:sz w:val="24"/>
        </w:rPr>
        <w:t xml:space="preserve">method and its potential to improve wound care practices. </w:t>
      </w:r>
    </w:p>
    <w:p>
      <w:pPr>
        <w:autoSpaceDN w:val="0"/>
        <w:tabs>
          <w:tab w:pos="826" w:val="left"/>
        </w:tabs>
        <w:autoSpaceDE w:val="0"/>
        <w:widowControl/>
        <w:spacing w:line="294" w:lineRule="exact" w:before="292" w:after="0"/>
        <w:ind w:left="258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RESEARCH METHODS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This research design uses a quasi-experiment posttest-only design conducted on </w:t>
      </w:r>
      <w:r>
        <w:rPr>
          <w:rFonts w:ascii="" w:hAnsi="" w:eastAsia=""/>
          <w:b w:val="0"/>
          <w:i w:val="0"/>
          <w:color w:val="000000"/>
          <w:sz w:val="24"/>
        </w:rPr>
        <w:t xml:space="preserve">October 20-30, 2023, at the Cut Mutia General Hospital, North Aceh Regency. The study </w:t>
      </w:r>
      <w:r>
        <w:rPr>
          <w:rFonts w:ascii="" w:hAnsi="" w:eastAsia=""/>
          <w:b w:val="0"/>
          <w:i w:val="0"/>
          <w:color w:val="000000"/>
          <w:sz w:val="24"/>
        </w:rPr>
        <w:t xml:space="preserve">population was postoperative mothers of cesarean section who were treated in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puerperium.  The study sample amounted to 18 people, divided into an intervention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group of 9 people and a control group of 9 people. </w:t>
      </w:r>
    </w:p>
    <w:p>
      <w:pPr>
        <w:autoSpaceDN w:val="0"/>
        <w:autoSpaceDE w:val="0"/>
        <w:widowControl/>
        <w:spacing w:line="292" w:lineRule="exact" w:before="0" w:after="0"/>
        <w:ind w:left="260" w:right="208" w:firstLine="566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This study was conducted intervention using wound care with modern dressings </w:t>
      </w:r>
      <w:r>
        <w:rPr>
          <w:rFonts w:ascii="" w:hAnsi="" w:eastAsia=""/>
          <w:b w:val="0"/>
          <w:i w:val="0"/>
          <w:color w:val="000000"/>
          <w:sz w:val="24"/>
        </w:rPr>
        <w:t xml:space="preserve">(tribe ointment) and conventional wound care using 10% povidone-iodine as a control </w:t>
      </w:r>
      <w:r>
        <w:rPr>
          <w:rFonts w:ascii="" w:hAnsi="" w:eastAsia=""/>
          <w:b w:val="0"/>
          <w:i w:val="0"/>
          <w:color w:val="000000"/>
          <w:sz w:val="24"/>
        </w:rPr>
        <w:t xml:space="preserve">group. Wound care is performed by nurses who have a modern wound dressing training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certificate (CBWT or CWCC certified). On day four, after wound treatment, then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wound is observed by researchers accompanied by nurses using observation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sheets/checklists consisting of tumor statements, rubor, calor, dolor, and functionless. </w:t>
      </w:r>
    </w:p>
    <w:p>
      <w:pPr>
        <w:autoSpaceDN w:val="0"/>
        <w:tabs>
          <w:tab w:pos="826" w:val="left"/>
          <w:tab w:pos="2076" w:val="left"/>
        </w:tabs>
        <w:autoSpaceDE w:val="0"/>
        <w:widowControl/>
        <w:spacing w:line="292" w:lineRule="exact" w:before="294" w:after="4"/>
        <w:ind w:left="258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RESULTS AND DISCUSSION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Research Results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The respondents in this study were 18 participants, including nine post-cesarean </w:t>
      </w:r>
      <w:r>
        <w:rPr>
          <w:rFonts w:ascii="" w:hAnsi="" w:eastAsia=""/>
          <w:b w:val="0"/>
          <w:i w:val="0"/>
          <w:color w:val="000000"/>
          <w:sz w:val="24"/>
        </w:rPr>
        <w:t xml:space="preserve">section clients who used conventional wound care and 9 participants using modern </w:t>
      </w:r>
      <w:r>
        <w:rPr>
          <w:rFonts w:ascii="" w:hAnsi="" w:eastAsia=""/>
          <w:b w:val="0"/>
          <w:i w:val="0"/>
          <w:color w:val="000000"/>
          <w:sz w:val="24"/>
        </w:rPr>
        <w:t xml:space="preserve">wound care. The characteristics of respondents are described as follows: </w:t>
      </w:r>
      <w:r>
        <w:br/>
      </w:r>
      <w:r>
        <w:tab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Table </w:t>
      </w:r>
      <w:r>
        <w:rPr>
          <w:rFonts w:ascii="" w:hAnsi="" w:eastAsia=""/>
          <w:b/>
          <w:i w:val="0"/>
          <w:color w:val="000000"/>
          <w:sz w:val="24"/>
          <w:u w:val="single"/>
        </w:rPr>
        <w:t>1. Characteristics of Researc</w:t>
      </w:r>
      <w:r>
        <w:rPr>
          <w:rFonts w:ascii="" w:hAnsi="" w:eastAsia=""/>
          <w:b/>
          <w:i w:val="0"/>
          <w:color w:val="000000"/>
          <w:sz w:val="24"/>
        </w:rPr>
        <w:t xml:space="preserve">h Respondents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35.99999999999994" w:type="dxa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rPr>
          <w:trHeight w:hRule="exact" w:val="420"/>
        </w:trPr>
        <w:tc>
          <w:tcPr>
            <w:tcW w:type="dxa" w:w="223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42"/>
            <w:gridSpan w:val="4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Intervention Group </w:t>
            </w:r>
          </w:p>
        </w:tc>
        <w:tc>
          <w:tcPr>
            <w:tcW w:type="dxa" w:w="71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9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Control Group </w:t>
            </w:r>
          </w:p>
        </w:tc>
        <w:tc>
          <w:tcPr>
            <w:tcW w:type="dxa" w:w="67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4"/>
        </w:trPr>
        <w:tc>
          <w:tcPr>
            <w:tcW w:type="dxa" w:w="223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221E20"/>
                <w:sz w:val="24"/>
              </w:rPr>
              <w:t>Characteristic</w:t>
            </w:r>
          </w:p>
        </w:tc>
        <w:tc>
          <w:tcPr>
            <w:tcW w:type="dxa" w:w="66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221E20"/>
                <w:sz w:val="24"/>
              </w:rPr>
              <w:t>n</w:t>
            </w:r>
          </w:p>
        </w:tc>
        <w:tc>
          <w:tcPr>
            <w:tcW w:type="dxa" w:w="1660"/>
            <w:gridSpan w:val="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" w:after="0"/>
              <w:ind w:left="23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221E20"/>
                <w:sz w:val="24"/>
              </w:rPr>
              <w:t>Mean (SD)</w:t>
            </w:r>
          </w:p>
        </w:tc>
        <w:tc>
          <w:tcPr>
            <w:tcW w:type="dxa" w:w="51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" w:after="0"/>
              <w:ind w:left="6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221E20"/>
                <w:sz w:val="24"/>
              </w:rPr>
              <w:t>%</w:t>
            </w:r>
          </w:p>
        </w:tc>
        <w:tc>
          <w:tcPr>
            <w:tcW w:type="dxa" w:w="71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221E20"/>
                <w:sz w:val="24"/>
              </w:rPr>
              <w:t>N</w:t>
            </w:r>
          </w:p>
        </w:tc>
        <w:tc>
          <w:tcPr>
            <w:tcW w:type="dxa" w:w="16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221E20"/>
                <w:sz w:val="24"/>
              </w:rPr>
              <w:t>Mean (SD)</w:t>
            </w:r>
          </w:p>
        </w:tc>
        <w:tc>
          <w:tcPr>
            <w:tcW w:type="dxa" w:w="67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221E20"/>
                <w:sz w:val="24"/>
              </w:rPr>
              <w:t>%</w:t>
            </w:r>
          </w:p>
        </w:tc>
      </w:tr>
      <w:tr>
        <w:trPr>
          <w:trHeight w:hRule="exact" w:val="306"/>
        </w:trPr>
        <w:tc>
          <w:tcPr>
            <w:tcW w:type="dxa" w:w="223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Paritas </w:t>
            </w:r>
          </w:p>
        </w:tc>
        <w:tc>
          <w:tcPr>
            <w:tcW w:type="dxa" w:w="66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144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28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29,6 (3,5) </w:t>
            </w:r>
          </w:p>
        </w:tc>
        <w:tc>
          <w:tcPr>
            <w:tcW w:type="dxa" w:w="728"/>
            <w:gridSpan w:val="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71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16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31,1 (3,4) </w:t>
            </w:r>
          </w:p>
        </w:tc>
        <w:tc>
          <w:tcPr>
            <w:tcW w:type="dxa" w:w="67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100 </w:t>
            </w:r>
          </w:p>
        </w:tc>
      </w:tr>
      <w:tr>
        <w:trPr>
          <w:trHeight w:hRule="exact" w:val="302"/>
        </w:trPr>
        <w:tc>
          <w:tcPr>
            <w:tcW w:type="dxa" w:w="223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1-5 </w:t>
            </w:r>
          </w:p>
        </w:tc>
        <w:tc>
          <w:tcPr>
            <w:tcW w:type="dxa" w:w="66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2176"/>
            <w:gridSpan w:val="3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44,4 </w:t>
            </w:r>
          </w:p>
        </w:tc>
        <w:tc>
          <w:tcPr>
            <w:tcW w:type="dxa" w:w="71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6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44,4 </w:t>
            </w:r>
          </w:p>
        </w:tc>
      </w:tr>
      <w:tr>
        <w:trPr>
          <w:trHeight w:hRule="exact" w:val="304"/>
        </w:trPr>
        <w:tc>
          <w:tcPr>
            <w:tcW w:type="dxa" w:w="223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&gt;5 </w:t>
            </w:r>
          </w:p>
        </w:tc>
        <w:tc>
          <w:tcPr>
            <w:tcW w:type="dxa" w:w="66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2176"/>
            <w:gridSpan w:val="3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" w:after="0"/>
              <w:ind w:left="0" w:right="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55,6 </w:t>
            </w:r>
          </w:p>
        </w:tc>
        <w:tc>
          <w:tcPr>
            <w:tcW w:type="dxa" w:w="71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6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55,6 </w:t>
            </w:r>
          </w:p>
        </w:tc>
      </w:tr>
    </w:tbl>
    <w:p>
      <w:pPr>
        <w:autoSpaceDN w:val="0"/>
        <w:tabs>
          <w:tab w:pos="292" w:val="left"/>
          <w:tab w:pos="826" w:val="left"/>
          <w:tab w:pos="3828" w:val="left"/>
        </w:tabs>
        <w:autoSpaceDE w:val="0"/>
        <w:widowControl/>
        <w:spacing w:line="292" w:lineRule="exact" w:before="300" w:after="6"/>
        <w:ind w:left="260" w:right="14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The participants in the study from both groups each dominated labor more than </w:t>
      </w:r>
      <w:r>
        <w:rPr>
          <w:rFonts w:ascii="" w:hAnsi="" w:eastAsia=""/>
          <w:b w:val="0"/>
          <w:i w:val="0"/>
          <w:color w:val="000000"/>
          <w:sz w:val="24"/>
        </w:rPr>
        <w:t xml:space="preserve">five times. The largest mean value was the control group of 31.1. Furthermore,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wound healing values of both treatment and control groups can be seen in the following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table: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Table 2. Distribution of Wound Healing Values in Modern and Conventional Wound </w:t>
      </w:r>
      <w:r>
        <w:tab/>
      </w:r>
      <w:r>
        <w:tab/>
      </w:r>
      <w:r>
        <w:rPr>
          <w:rFonts w:ascii="" w:hAnsi="" w:eastAsia=""/>
          <w:b/>
          <w:i w:val="0"/>
          <w:color w:val="000000"/>
          <w:sz w:val="24"/>
        </w:rPr>
        <w:t xml:space="preserve">Care Groups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1.9999999999999" w:type="dxa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rPr>
          <w:trHeight w:hRule="exact" w:val="448"/>
        </w:trPr>
        <w:tc>
          <w:tcPr>
            <w:tcW w:type="dxa" w:w="4218"/>
            <w:gridSpan w:val="6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Variable </w:t>
            </w:r>
          </w:p>
        </w:tc>
        <w:tc>
          <w:tcPr>
            <w:tcW w:type="dxa" w:w="99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n </w:t>
            </w:r>
          </w:p>
        </w:tc>
        <w:tc>
          <w:tcPr>
            <w:tcW w:type="dxa" w:w="127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Min-Max </w:t>
            </w:r>
          </w:p>
        </w:tc>
        <w:tc>
          <w:tcPr>
            <w:tcW w:type="dxa" w:w="142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Median </w:t>
            </w:r>
          </w:p>
        </w:tc>
      </w:tr>
      <w:tr>
        <w:trPr>
          <w:trHeight w:hRule="exact" w:val="304"/>
        </w:trPr>
        <w:tc>
          <w:tcPr>
            <w:tcW w:type="dxa" w:w="4218"/>
            <w:gridSpan w:val="6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The value of wound healing in modern </w:t>
            </w:r>
          </w:p>
        </w:tc>
        <w:tc>
          <w:tcPr>
            <w:tcW w:type="dxa" w:w="994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1272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1-2 </w:t>
            </w:r>
          </w:p>
        </w:tc>
        <w:tc>
          <w:tcPr>
            <w:tcW w:type="dxa" w:w="1422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1,00 </w:t>
            </w:r>
          </w:p>
        </w:tc>
      </w:tr>
      <w:tr>
        <w:trPr>
          <w:trHeight w:hRule="exact" w:val="296"/>
        </w:trPr>
        <w:tc>
          <w:tcPr>
            <w:tcW w:type="dxa" w:w="4218"/>
            <w:gridSpan w:val="6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wound care </w:t>
            </w:r>
          </w:p>
        </w:tc>
        <w:tc>
          <w:tcPr>
            <w:tcW w:type="dxa" w:w="1003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003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003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300"/>
        </w:trPr>
        <w:tc>
          <w:tcPr>
            <w:tcW w:type="dxa" w:w="61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The </w:t>
            </w:r>
          </w:p>
        </w:tc>
        <w:tc>
          <w:tcPr>
            <w:tcW w:type="dxa" w:w="8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value </w:t>
            </w:r>
          </w:p>
        </w:tc>
        <w:tc>
          <w:tcPr>
            <w:tcW w:type="dxa" w:w="4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of </w:t>
            </w:r>
          </w:p>
        </w:tc>
        <w:tc>
          <w:tcPr>
            <w:tcW w:type="dxa" w:w="9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wound </w:t>
            </w:r>
          </w:p>
        </w:tc>
        <w:tc>
          <w:tcPr>
            <w:tcW w:type="dxa" w:w="9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healing </w:t>
            </w:r>
          </w:p>
        </w:tc>
        <w:tc>
          <w:tcPr>
            <w:tcW w:type="dxa" w:w="4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in </w:t>
            </w:r>
          </w:p>
        </w:tc>
        <w:tc>
          <w:tcPr>
            <w:tcW w:type="dxa" w:w="994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1272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2-4 </w:t>
            </w:r>
          </w:p>
        </w:tc>
        <w:tc>
          <w:tcPr>
            <w:tcW w:type="dxa" w:w="1422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3,00 </w:t>
            </w:r>
          </w:p>
        </w:tc>
      </w:tr>
      <w:tr>
        <w:trPr>
          <w:trHeight w:hRule="exact" w:val="294"/>
        </w:trPr>
        <w:tc>
          <w:tcPr>
            <w:tcW w:type="dxa" w:w="4218"/>
            <w:gridSpan w:val="6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conventional wound care </w:t>
            </w:r>
          </w:p>
        </w:tc>
        <w:tc>
          <w:tcPr>
            <w:tcW w:type="dxa" w:w="1003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003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003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92" w:lineRule="exact" w:before="8" w:after="0"/>
        <w:ind w:left="260" w:right="350" w:firstLine="566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 The results of wound healing in the modern wound care group are faster, which </w:t>
      </w:r>
      <w:r>
        <w:rPr>
          <w:rFonts w:ascii="" w:hAnsi="" w:eastAsia=""/>
          <w:b w:val="0"/>
          <w:i w:val="0"/>
          <w:color w:val="000000"/>
          <w:sz w:val="24"/>
        </w:rPr>
        <w:t xml:space="preserve">is between 1-2 days, compared to conventional methods, between 2-4 days.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results of the analysis for comparison of modern and conventional wound care results </w:t>
      </w:r>
      <w:r>
        <w:rPr>
          <w:rFonts w:ascii="" w:hAnsi="" w:eastAsia=""/>
          <w:b w:val="0"/>
          <w:i w:val="0"/>
          <w:color w:val="000000"/>
          <w:sz w:val="24"/>
        </w:rPr>
        <w:t xml:space="preserve">can be seen in the following table: </w:t>
      </w:r>
    </w:p>
    <w:p>
      <w:pPr>
        <w:autoSpaceDN w:val="0"/>
        <w:tabs>
          <w:tab w:pos="8400" w:val="left"/>
        </w:tabs>
        <w:autoSpaceDE w:val="0"/>
        <w:widowControl/>
        <w:spacing w:line="292" w:lineRule="exact" w:before="1168" w:after="0"/>
        <w:ind w:left="258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Journal of Health Science, Vol. 5, No. 5, May 2024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356 </w:t>
      </w:r>
    </w:p>
    <w:p>
      <w:pPr>
        <w:sectPr>
          <w:pgSz w:w="11909" w:h="16838"/>
          <w:pgMar w:top="356" w:right="1440" w:bottom="3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92" w:lineRule="exact" w:before="2" w:after="0"/>
        <w:ind w:left="4452" w:right="144" w:hanging="40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Comparison of Conventional and Modern Wound Care in Post-Section Wounds at Cut </w:t>
      </w:r>
      <w:r>
        <w:rPr>
          <w:rFonts w:ascii="" w:hAnsi="" w:eastAsia=""/>
          <w:b w:val="0"/>
          <w:i w:val="0"/>
          <w:color w:val="000000"/>
          <w:sz w:val="24"/>
        </w:rPr>
        <w:t xml:space="preserve">Mutia Hospital, North Aceh Regency in 2023 </w:t>
      </w:r>
    </w:p>
    <w:p>
      <w:pPr>
        <w:autoSpaceDN w:val="0"/>
        <w:autoSpaceDE w:val="0"/>
        <w:widowControl/>
        <w:spacing w:line="292" w:lineRule="exact" w:before="404" w:after="8"/>
        <w:ind w:left="432" w:right="432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Table 3. Comparison of Types of Wound Care Against Wound Healing in Modern </w:t>
      </w:r>
      <w:r>
        <w:rPr>
          <w:rFonts w:ascii="" w:hAnsi="" w:eastAsia=""/>
          <w:b/>
          <w:i w:val="0"/>
          <w:color w:val="000000"/>
          <w:sz w:val="24"/>
        </w:rPr>
        <w:t>and Conventio</w:t>
      </w:r>
      <w:r>
        <w:rPr>
          <w:rFonts w:ascii="" w:hAnsi="" w:eastAsia=""/>
          <w:b/>
          <w:i w:val="0"/>
          <w:color w:val="000000"/>
          <w:sz w:val="24"/>
          <w:u w:val="single"/>
        </w:rPr>
        <w:t>nal Wou</w:t>
      </w:r>
      <w:r>
        <w:rPr>
          <w:rFonts w:ascii="" w:hAnsi="" w:eastAsia=""/>
          <w:b/>
          <w:i w:val="0"/>
          <w:color w:val="000000"/>
          <w:sz w:val="24"/>
          <w:u w:val="single"/>
        </w:rPr>
        <w:t>nd Care Group</w:t>
      </w:r>
      <w:r>
        <w:rPr>
          <w:rFonts w:ascii="" w:hAnsi="" w:eastAsia=""/>
          <w:b/>
          <w:i w:val="0"/>
          <w:color w:val="000000"/>
          <w:sz w:val="24"/>
        </w:rPr>
        <w:t xml:space="preserve">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1.9999999999999" w:type="dxa"/>
      </w:tblPr>
      <w:tblGrid>
        <w:gridCol w:w="1806"/>
        <w:gridCol w:w="1806"/>
        <w:gridCol w:w="1806"/>
        <w:gridCol w:w="1806"/>
        <w:gridCol w:w="1806"/>
      </w:tblGrid>
      <w:tr>
        <w:trPr>
          <w:trHeight w:hRule="exact" w:val="450"/>
        </w:trPr>
        <w:tc>
          <w:tcPr>
            <w:tcW w:type="dxa" w:w="364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" w:after="0"/>
              <w:ind w:left="0" w:right="1582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Group</w:t>
            </w:r>
          </w:p>
        </w:tc>
        <w:tc>
          <w:tcPr>
            <w:tcW w:type="dxa" w:w="85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N</w:t>
            </w:r>
          </w:p>
        </w:tc>
        <w:tc>
          <w:tcPr>
            <w:tcW w:type="dxa" w:w="141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Mean rank</w:t>
            </w:r>
          </w:p>
        </w:tc>
        <w:tc>
          <w:tcPr>
            <w:tcW w:type="dxa" w:w="130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D </w:t>
            </w:r>
          </w:p>
        </w:tc>
        <w:tc>
          <w:tcPr>
            <w:tcW w:type="dxa" w:w="119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P-Value </w:t>
            </w:r>
          </w:p>
        </w:tc>
      </w:tr>
      <w:tr>
        <w:trPr>
          <w:trHeight w:hRule="exact" w:val="302"/>
        </w:trPr>
        <w:tc>
          <w:tcPr>
            <w:tcW w:type="dxa" w:w="364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Intervention groups with </w:t>
            </w:r>
          </w:p>
        </w:tc>
        <w:tc>
          <w:tcPr>
            <w:tcW w:type="dxa" w:w="854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1416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5,50 </w:t>
            </w:r>
          </w:p>
        </w:tc>
        <w:tc>
          <w:tcPr>
            <w:tcW w:type="dxa" w:w="1306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3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,500 </w:t>
            </w:r>
          </w:p>
        </w:tc>
        <w:tc>
          <w:tcPr>
            <w:tcW w:type="dxa" w:w="1196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364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Modern wound care </w:t>
            </w:r>
          </w:p>
        </w:tc>
        <w:tc>
          <w:tcPr>
            <w:tcW w:type="dxa" w:w="1806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806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806"/>
            <w:vMerge/>
            <w:tcBorders>
              <w:top w:sz="4.0" w:val="single" w:color="#000000"/>
              <w:bottom w:sz="4.0" w:val="single" w:color="#000000"/>
            </w:tcBorders>
          </w:tcPr>
          <w:p/>
        </w:tc>
        <w:tc>
          <w:tcPr>
            <w:tcW w:type="dxa" w:w="1806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98"/>
        </w:trPr>
        <w:tc>
          <w:tcPr>
            <w:tcW w:type="dxa" w:w="364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Control group with conventional </w:t>
            </w:r>
          </w:p>
        </w:tc>
        <w:tc>
          <w:tcPr>
            <w:tcW w:type="dxa" w:w="854"/>
            <w:vMerge w:val="restart"/>
            <w:tcBorders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1416"/>
            <w:vMerge w:val="restart"/>
            <w:tcBorders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13,50 </w:t>
            </w:r>
          </w:p>
        </w:tc>
        <w:tc>
          <w:tcPr>
            <w:tcW w:type="dxa" w:w="1306"/>
            <w:vMerge w:val="restart"/>
            <w:tcBorders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,782 </w:t>
            </w:r>
          </w:p>
        </w:tc>
        <w:tc>
          <w:tcPr>
            <w:tcW w:type="dxa" w:w="1196"/>
            <w:vMerge w:val="restart"/>
            <w:tcBorders>
              <w:top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0,001 </w:t>
            </w:r>
          </w:p>
        </w:tc>
      </w:tr>
      <w:tr>
        <w:trPr>
          <w:trHeight w:hRule="exact" w:val="296"/>
        </w:trPr>
        <w:tc>
          <w:tcPr>
            <w:tcW w:type="dxa" w:w="3648"/>
            <w:tcBorders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wound care </w:t>
            </w:r>
          </w:p>
        </w:tc>
        <w:tc>
          <w:tcPr>
            <w:tcW w:type="dxa" w:w="1806"/>
            <w:vMerge/>
            <w:tcBorders>
              <w:top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1806"/>
            <w:vMerge/>
            <w:tcBorders>
              <w:top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1806"/>
            <w:vMerge/>
            <w:tcBorders>
              <w:top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1806"/>
            <w:vMerge/>
            <w:tcBorders>
              <w:top w:sz="4.0" w:val="single" w:color="#000000"/>
              <w:bottom w:sz="3.200000000000045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92" w:lineRule="exact" w:before="8" w:after="0"/>
        <w:ind w:left="260" w:right="210" w:firstLine="566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The results of the analysis using the Mann-Whitney test obtained a p-value = 0.001 </w:t>
      </w:r>
      <w:r>
        <w:rPr>
          <w:rFonts w:ascii="" w:hAnsi="" w:eastAsia=""/>
          <w:b w:val="0"/>
          <w:i w:val="0"/>
          <w:color w:val="000000"/>
          <w:sz w:val="24"/>
        </w:rPr>
        <w:t xml:space="preserve">where p &lt; 0.05, meaning that there is a significant difference between conventional </w:t>
      </w:r>
      <w:r>
        <w:rPr>
          <w:rFonts w:ascii="" w:hAnsi="" w:eastAsia=""/>
          <w:b w:val="0"/>
          <w:i w:val="0"/>
          <w:color w:val="000000"/>
          <w:sz w:val="24"/>
        </w:rPr>
        <w:t xml:space="preserve">wound care and </w:t>
      </w:r>
      <w:r>
        <w:rPr>
          <w:rFonts w:ascii="" w:hAnsi="" w:eastAsia=""/>
          <w:b w:val="0"/>
          <w:i/>
          <w:color w:val="000000"/>
          <w:sz w:val="24"/>
        </w:rPr>
        <w:t xml:space="preserve">modern dressings </w:t>
      </w:r>
      <w:r>
        <w:rPr>
          <w:rFonts w:ascii="" w:hAnsi="" w:eastAsia=""/>
          <w:b w:val="0"/>
          <w:i w:val="0"/>
          <w:color w:val="000000"/>
          <w:sz w:val="24"/>
        </w:rPr>
        <w:t xml:space="preserve">(tribe ointment). </w:t>
      </w:r>
    </w:p>
    <w:p>
      <w:pPr>
        <w:autoSpaceDN w:val="0"/>
        <w:tabs>
          <w:tab w:pos="826" w:val="left"/>
        </w:tabs>
        <w:autoSpaceDE w:val="0"/>
        <w:widowControl/>
        <w:spacing w:line="294" w:lineRule="exact" w:before="0" w:after="0"/>
        <w:ind w:left="260" w:right="288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Discussion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The results of the postoperative wound healing study of cesarean section in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conventional wound care group on the 4th day after surgery experienced impaired </w:t>
      </w:r>
      <w:r>
        <w:rPr>
          <w:rFonts w:ascii="" w:hAnsi="" w:eastAsia=""/>
          <w:b w:val="0"/>
          <w:i w:val="0"/>
          <w:color w:val="000000"/>
          <w:sz w:val="24"/>
        </w:rPr>
        <w:t xml:space="preserve">wound healing with an average value of 2.89. The wound healing value in the modern </w:t>
      </w:r>
      <w:r>
        <w:rPr>
          <w:rFonts w:ascii="" w:hAnsi="" w:eastAsia=""/>
          <w:b w:val="0"/>
          <w:i w:val="0"/>
          <w:color w:val="000000"/>
          <w:sz w:val="24"/>
        </w:rPr>
        <w:t xml:space="preserve">wound care group and standard care in post-cesarean section patients was better than </w:t>
      </w:r>
      <w:r>
        <w:rPr>
          <w:rFonts w:ascii="" w:hAnsi="" w:eastAsia=""/>
          <w:b w:val="0"/>
          <w:i w:val="0"/>
          <w:color w:val="000000"/>
          <w:sz w:val="24"/>
        </w:rPr>
        <w:t xml:space="preserve">that of conventional wound care, with an average wound healing value of 1.33.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value is not good to say that wound care is good, but when compared to conventional </w:t>
      </w:r>
      <w:r>
        <w:rPr>
          <w:rFonts w:ascii="" w:hAnsi="" w:eastAsia=""/>
          <w:b w:val="0"/>
          <w:i w:val="0"/>
          <w:color w:val="000000"/>
          <w:sz w:val="24"/>
        </w:rPr>
        <w:t xml:space="preserve">wound care, modern wound care is better. This is in line with the literature that says </w:t>
      </w:r>
      <w:r>
        <w:rPr>
          <w:rFonts w:ascii="" w:hAnsi="" w:eastAsia=""/>
          <w:b w:val="0"/>
          <w:i w:val="0"/>
          <w:color w:val="000000"/>
          <w:sz w:val="24"/>
        </w:rPr>
        <w:t xml:space="preserve">modern wound care can maintain moist conditions, control the incidence of infection, </w:t>
      </w:r>
      <w:r>
        <w:rPr>
          <w:rFonts w:ascii="" w:hAnsi="" w:eastAsia=""/>
          <w:b w:val="0"/>
          <w:i w:val="0"/>
          <w:color w:val="000000"/>
          <w:sz w:val="24"/>
        </w:rPr>
        <w:t xml:space="preserve">accelerate wound healing, absorb excessive wound fluid, remove dead tissue, and be </w:t>
      </w:r>
      <w:r>
        <w:rPr>
          <w:rFonts w:ascii="" w:hAnsi="" w:eastAsia=""/>
          <w:b w:val="0"/>
          <w:i w:val="0"/>
          <w:color w:val="000000"/>
          <w:sz w:val="24"/>
        </w:rPr>
        <w:t>comfortable to use, sterile, and cost-effective</w:t>
      </w:r>
      <w:r>
        <w:rPr>
          <w:rFonts w:ascii="" w:hAnsi="" w:eastAsia=""/>
          <w:b w:val="0"/>
          <w:i w:val="0"/>
          <w:color w:val="000000"/>
          <w:sz w:val="24"/>
        </w:rPr>
        <w:t xml:space="preserve">(Arisanty, 2018). </w:t>
      </w:r>
    </w:p>
    <w:p>
      <w:pPr>
        <w:autoSpaceDN w:val="0"/>
        <w:autoSpaceDE w:val="0"/>
        <w:widowControl/>
        <w:spacing w:line="292" w:lineRule="exact" w:before="2" w:after="0"/>
        <w:ind w:left="260" w:right="350" w:firstLine="566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Acute wounds (postoperative wounds) can heal or close according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physiological wound healing time (Arisanty, 2018). Wounds can heal if they go through </w:t>
      </w:r>
      <w:r>
        <w:rPr>
          <w:rFonts w:ascii="" w:hAnsi="" w:eastAsia=""/>
          <w:b w:val="0"/>
          <w:i w:val="0"/>
          <w:color w:val="000000"/>
          <w:sz w:val="24"/>
        </w:rPr>
        <w:t xml:space="preserve">an inflammatory reaction (inflammatory phase), the main purpose of which is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recombine parts of the wound and restore its function (Sabiston, 2018).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inflammatory phase is the body's reaction to the wound that begins after a few </w:t>
      </w:r>
      <w:r>
        <w:rPr>
          <w:rFonts w:ascii="" w:hAnsi="" w:eastAsia=""/>
          <w:b w:val="0"/>
          <w:i w:val="0"/>
          <w:color w:val="000000"/>
          <w:sz w:val="24"/>
        </w:rPr>
        <w:t xml:space="preserve">minutes and lasts for three days after the injury. The wound repair process consists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hemostasis (controlling bleeding), sending blood and cells to the injured area </w:t>
      </w:r>
      <w:r>
        <w:rPr>
          <w:rFonts w:ascii="" w:hAnsi="" w:eastAsia=""/>
          <w:b w:val="0"/>
          <w:i w:val="0"/>
          <w:color w:val="000000"/>
          <w:sz w:val="24"/>
        </w:rPr>
        <w:t xml:space="preserve">(inflammation), and forming epithelial cells at the site of injury (epithelialization). </w:t>
      </w:r>
      <w:r>
        <w:rPr>
          <w:rFonts w:ascii="" w:hAnsi="" w:eastAsia=""/>
          <w:b w:val="0"/>
          <w:i w:val="0"/>
          <w:color w:val="000000"/>
          <w:sz w:val="24"/>
        </w:rPr>
        <w:t xml:space="preserve">During the hemostasis process, the injured blood vessels will be constricted,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platelets will gather to stop bleeding. The blood clot will form a fibrin matrix, which </w:t>
      </w:r>
      <w:r>
        <w:rPr>
          <w:rFonts w:ascii="" w:hAnsi="" w:eastAsia=""/>
          <w:b w:val="0"/>
          <w:i w:val="0"/>
          <w:color w:val="000000"/>
          <w:sz w:val="24"/>
        </w:rPr>
        <w:t xml:space="preserve">will later become a skeleton for cell repair. Damaged tissue and mast cells secrete </w:t>
      </w:r>
      <w:r>
        <w:rPr>
          <w:rFonts w:ascii="" w:hAnsi="" w:eastAsia=""/>
          <w:b w:val="0"/>
          <w:i w:val="0"/>
          <w:color w:val="000000"/>
          <w:sz w:val="24"/>
        </w:rPr>
        <w:t xml:space="preserve">histamine, which causes vasodilation of surrounding capillaries and secretes serum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white blood cells into the damaged tissue. This will cause redness, edema, warmth,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local pain. Leukocytes will reach the wound within a few hours. The main </w:t>
      </w:r>
      <w:r>
        <w:rPr>
          <w:rFonts w:ascii="" w:hAnsi="" w:eastAsia=""/>
          <w:b w:val="0"/>
          <w:i w:val="0"/>
          <w:color w:val="000000"/>
          <w:sz w:val="24"/>
        </w:rPr>
        <w:t xml:space="preserve">leukocytes that act on wounds are neutrophils that feed on bacteria and small debris. </w:t>
      </w:r>
      <w:r>
        <w:rPr>
          <w:rFonts w:ascii="" w:hAnsi="" w:eastAsia=""/>
          <w:b w:val="0"/>
          <w:i w:val="0"/>
          <w:color w:val="000000"/>
          <w:sz w:val="24"/>
        </w:rPr>
        <w:t xml:space="preserve">Neutrophils will die within a few days and will leave behind enzyme exudates that will </w:t>
      </w:r>
      <w:r>
        <w:rPr>
          <w:rFonts w:ascii="" w:hAnsi="" w:eastAsia=""/>
          <w:b w:val="0"/>
          <w:i w:val="0"/>
          <w:color w:val="000000"/>
          <w:sz w:val="24"/>
        </w:rPr>
        <w:t xml:space="preserve">attack bacteria or help tissue repair. </w:t>
      </w:r>
    </w:p>
    <w:p>
      <w:pPr>
        <w:autoSpaceDN w:val="0"/>
        <w:autoSpaceDE w:val="0"/>
        <w:widowControl/>
        <w:spacing w:line="294" w:lineRule="exact" w:before="0" w:after="0"/>
        <w:ind w:left="260" w:right="324" w:firstLine="566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The results of this study showed significant differences in the wound healing </w:t>
      </w:r>
      <w:r>
        <w:rPr>
          <w:rFonts w:ascii="" w:hAnsi="" w:eastAsia=""/>
          <w:b w:val="0"/>
          <w:i w:val="0"/>
          <w:color w:val="000000"/>
          <w:sz w:val="24"/>
        </w:rPr>
        <w:t xml:space="preserve">process using modern and conventional wound care. This is because epidermal </w:t>
      </w:r>
      <w:r>
        <w:rPr>
          <w:rFonts w:ascii="" w:hAnsi="" w:eastAsia=""/>
          <w:b w:val="0"/>
          <w:i w:val="0"/>
          <w:color w:val="000000"/>
          <w:sz w:val="24"/>
        </w:rPr>
        <w:t xml:space="preserve">migration in superficial wounds is faster in moist than dry settings. This modern </w:t>
      </w:r>
      <w:r>
        <w:rPr>
          <w:rFonts w:ascii="" w:hAnsi="" w:eastAsia=""/>
          <w:b w:val="0"/>
          <w:i w:val="0"/>
          <w:color w:val="000000"/>
          <w:sz w:val="24"/>
        </w:rPr>
        <w:t xml:space="preserve">dressing serves to protect the wound from germ contamination and prevent germs </w:t>
      </w:r>
      <w:r>
        <w:rPr>
          <w:rFonts w:ascii="" w:hAnsi="" w:eastAsia=""/>
          <w:b w:val="0"/>
          <w:i w:val="0"/>
          <w:color w:val="000000"/>
          <w:sz w:val="24"/>
        </w:rPr>
        <w:t xml:space="preserve">from entering. This dressing provides a balanced, moist condition, that is, if the dry </w:t>
      </w:r>
      <w:r>
        <w:rPr>
          <w:rFonts w:ascii="" w:hAnsi="" w:eastAsia=""/>
          <w:b w:val="0"/>
          <w:i w:val="0"/>
          <w:color w:val="000000"/>
          <w:sz w:val="24"/>
        </w:rPr>
        <w:t xml:space="preserve">wound can be hydrated, and if wet, the fluid can be absorbed. Besides, it can help </w:t>
      </w:r>
      <w:r>
        <w:rPr>
          <w:rFonts w:ascii="" w:hAnsi="" w:eastAsia=""/>
          <w:b w:val="0"/>
          <w:i w:val="0"/>
          <w:color w:val="000000"/>
          <w:sz w:val="24"/>
        </w:rPr>
        <w:t xml:space="preserve">facilitate blood flow and vasodilation of blood vessels so that oxygenation and blood </w:t>
      </w:r>
    </w:p>
    <w:p>
      <w:pPr>
        <w:autoSpaceDN w:val="0"/>
        <w:tabs>
          <w:tab w:pos="8400" w:val="left"/>
        </w:tabs>
        <w:autoSpaceDE w:val="0"/>
        <w:widowControl/>
        <w:spacing w:line="292" w:lineRule="exact" w:before="760" w:after="0"/>
        <w:ind w:left="258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Journal of Health Science, Vol. 5, No. 5, May 2024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357 </w:t>
      </w:r>
    </w:p>
    <w:p>
      <w:pPr>
        <w:sectPr>
          <w:pgSz w:w="11909" w:h="16838"/>
          <w:pgMar w:top="356" w:right="1440" w:bottom="3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26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Yusnidaryani, Said Taufiq, Marlina, M. Jamil Fauzi </w:t>
      </w:r>
    </w:p>
    <w:p>
      <w:pPr>
        <w:autoSpaceDN w:val="0"/>
        <w:autoSpaceDE w:val="0"/>
        <w:widowControl/>
        <w:spacing w:line="292" w:lineRule="exact" w:before="696" w:after="0"/>
        <w:ind w:left="260" w:right="28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flow to the wound can be facilitated properly. This dressing is very comfortable and </w:t>
      </w:r>
      <w:r>
        <w:rPr>
          <w:rFonts w:ascii="" w:hAnsi="" w:eastAsia=""/>
          <w:b w:val="0"/>
          <w:i/>
          <w:color w:val="000000"/>
          <w:sz w:val="24"/>
        </w:rPr>
        <w:t xml:space="preserve">cost-effective </w:t>
      </w:r>
      <w:r>
        <w:rPr>
          <w:rFonts w:ascii="" w:hAnsi="" w:eastAsia=""/>
          <w:b w:val="0"/>
          <w:i w:val="0"/>
          <w:color w:val="000000"/>
          <w:sz w:val="24"/>
        </w:rPr>
        <w:t xml:space="preserve">for patients (Arendsen et al., 2020). </w:t>
      </w:r>
    </w:p>
    <w:p>
      <w:pPr>
        <w:autoSpaceDN w:val="0"/>
        <w:autoSpaceDE w:val="0"/>
        <w:widowControl/>
        <w:spacing w:line="294" w:lineRule="exact" w:before="0" w:after="0"/>
        <w:ind w:left="260" w:right="210" w:firstLine="566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The results of this study are in accordance with research conducted by Chuang </w:t>
      </w:r>
      <w:r>
        <w:rPr>
          <w:rFonts w:ascii="" w:hAnsi="" w:eastAsia=""/>
          <w:b w:val="0"/>
          <w:i w:val="0"/>
          <w:color w:val="000000"/>
          <w:sz w:val="24"/>
        </w:rPr>
        <w:t xml:space="preserve">(2023), which states that groups using modern wound care are more effective than </w:t>
      </w:r>
      <w:r>
        <w:rPr>
          <w:rFonts w:ascii="" w:hAnsi="" w:eastAsia=""/>
          <w:b w:val="0"/>
          <w:i w:val="0"/>
          <w:color w:val="000000"/>
          <w:sz w:val="24"/>
        </w:rPr>
        <w:t xml:space="preserve">those using conventional wound care, with a </w:t>
      </w:r>
      <w:r>
        <w:rPr>
          <w:rFonts w:ascii="" w:hAnsi="" w:eastAsia=""/>
          <w:b w:val="0"/>
          <w:i/>
          <w:color w:val="000000"/>
          <w:sz w:val="24"/>
        </w:rPr>
        <w:t xml:space="preserve">p-value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0.000. Modern wound care </w:t>
      </w:r>
      <w:r>
        <w:rPr>
          <w:rFonts w:ascii="" w:hAnsi="" w:eastAsia=""/>
          <w:b w:val="0"/>
          <w:i/>
          <w:color w:val="000000"/>
          <w:sz w:val="24"/>
        </w:rPr>
        <w:t xml:space="preserve">dressings </w:t>
      </w:r>
      <w:r>
        <w:rPr>
          <w:rFonts w:ascii="" w:hAnsi="" w:eastAsia=""/>
          <w:b w:val="0"/>
          <w:i w:val="0"/>
          <w:color w:val="000000"/>
          <w:sz w:val="24"/>
        </w:rPr>
        <w:t xml:space="preserve">provide a moist atmosphere to the wound, which causes faster epidermal </w:t>
      </w:r>
      <w:r>
        <w:rPr>
          <w:rFonts w:ascii="" w:hAnsi="" w:eastAsia=""/>
          <w:b w:val="0"/>
          <w:i w:val="0"/>
          <w:color w:val="000000"/>
          <w:sz w:val="24"/>
        </w:rPr>
        <w:t xml:space="preserve">migration than the dry atmosphere of the wound. In addition, moist wound treatment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will reduce infection more than dry wound care. A moist atmosphere can increase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migration of epithelial cells to the center of the wound and coat it so that the wound </w:t>
      </w:r>
      <w:r>
        <w:rPr>
          <w:rFonts w:ascii="" w:hAnsi="" w:eastAsia=""/>
          <w:b w:val="0"/>
          <w:i w:val="0"/>
          <w:color w:val="000000"/>
          <w:sz w:val="24"/>
        </w:rPr>
        <w:t xml:space="preserve">heals faster (Chuang et al., 2023). </w:t>
      </w:r>
    </w:p>
    <w:p>
      <w:pPr>
        <w:autoSpaceDN w:val="0"/>
        <w:autoSpaceDE w:val="0"/>
        <w:widowControl/>
        <w:spacing w:line="292" w:lineRule="exact" w:before="0" w:after="0"/>
        <w:ind w:left="260" w:right="210" w:firstLine="566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In addition, Kielo-Viljamaa et al. (2022) stated that there is a correlation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significance between modern wound care techniques on interculin one and interculin </w:t>
      </w:r>
      <w:r>
        <w:rPr>
          <w:rFonts w:ascii="" w:hAnsi="" w:eastAsia=""/>
          <w:b w:val="0"/>
          <w:i w:val="0"/>
          <w:color w:val="000000"/>
          <w:sz w:val="24"/>
        </w:rPr>
        <w:t xml:space="preserve">six levels rather than using conventional wound care techniques with </w:t>
      </w:r>
      <w:r>
        <w:rPr>
          <w:rFonts w:ascii="" w:hAnsi="" w:eastAsia=""/>
          <w:b w:val="0"/>
          <w:i/>
          <w:color w:val="000000"/>
          <w:sz w:val="24"/>
        </w:rPr>
        <w:t xml:space="preserve">a p-value </w:t>
      </w:r>
      <w:r>
        <w:rPr>
          <w:rFonts w:ascii="" w:hAnsi="" w:eastAsia=""/>
          <w:b w:val="0"/>
          <w:i w:val="0"/>
          <w:color w:val="000000"/>
          <w:sz w:val="24"/>
        </w:rPr>
        <w:t xml:space="preserve">of 0.00.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These results occur because the wound-healing process is influenced by growth factors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cytokines (IL-1 and IL-6). It will stimulated by wound dressing. Modern wound </w:t>
      </w:r>
      <w:r>
        <w:rPr>
          <w:rFonts w:ascii="" w:hAnsi="" w:eastAsia=""/>
          <w:b w:val="0"/>
          <w:i w:val="0"/>
          <w:color w:val="000000"/>
          <w:sz w:val="24"/>
        </w:rPr>
        <w:t xml:space="preserve">dressing techniques used can absorb wound </w:t>
      </w:r>
      <w:r>
        <w:rPr>
          <w:rFonts w:ascii="" w:hAnsi="" w:eastAsia=""/>
          <w:b w:val="0"/>
          <w:i/>
          <w:color w:val="000000"/>
          <w:sz w:val="24"/>
        </w:rPr>
        <w:t>drainage, non-adhesives</w:t>
      </w:r>
      <w:r>
        <w:rPr>
          <w:rFonts w:ascii="" w:hAnsi="" w:eastAsia=""/>
          <w:b w:val="0"/>
          <w:i w:val="0"/>
          <w:color w:val="000000"/>
          <w:sz w:val="24"/>
        </w:rPr>
        <w:t xml:space="preserve">, and </w:t>
      </w:r>
      <w:r>
        <w:rPr>
          <w:rFonts w:ascii="" w:hAnsi="" w:eastAsia=""/>
          <w:b w:val="0"/>
          <w:i/>
          <w:color w:val="000000"/>
          <w:sz w:val="24"/>
        </w:rPr>
        <w:t xml:space="preserve">debridement </w:t>
      </w:r>
      <w:r>
        <w:rPr>
          <w:rFonts w:ascii="" w:hAnsi="" w:eastAsia=""/>
          <w:b w:val="0"/>
          <w:i/>
          <w:color w:val="000000"/>
          <w:sz w:val="24"/>
        </w:rPr>
        <w:t xml:space="preserve">autolytic. </w:t>
      </w:r>
    </w:p>
    <w:p>
      <w:pPr>
        <w:autoSpaceDN w:val="0"/>
        <w:tabs>
          <w:tab w:pos="826" w:val="left"/>
        </w:tabs>
        <w:autoSpaceDE w:val="0"/>
        <w:widowControl/>
        <w:spacing w:line="292" w:lineRule="exact" w:before="294" w:after="0"/>
        <w:ind w:left="26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CONCLUSION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The average value of wound healing after modern wound care is 5.50, while 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average value of wound healing after conventional wound care is 13.50. There are </w:t>
      </w:r>
      <w:r>
        <w:rPr>
          <w:rFonts w:ascii="" w:hAnsi="" w:eastAsia=""/>
          <w:b w:val="0"/>
          <w:i w:val="0"/>
          <w:color w:val="000000"/>
          <w:sz w:val="24"/>
        </w:rPr>
        <w:t xml:space="preserve">significant differences in the wound healing process using conventional and modern </w:t>
      </w:r>
      <w:r>
        <w:rPr>
          <w:rFonts w:ascii="" w:hAnsi="" w:eastAsia=""/>
          <w:b w:val="0"/>
          <w:i w:val="0"/>
          <w:color w:val="000000"/>
          <w:sz w:val="24"/>
        </w:rPr>
        <w:t xml:space="preserve">wound care in postoperative cesarean section patients at Cut Mutia General Hospital. </w:t>
      </w:r>
    </w:p>
    <w:p>
      <w:pPr>
        <w:autoSpaceDN w:val="0"/>
        <w:tabs>
          <w:tab w:pos="740" w:val="left"/>
          <w:tab w:pos="2008" w:val="left"/>
          <w:tab w:pos="2670" w:val="left"/>
          <w:tab w:pos="4088" w:val="left"/>
          <w:tab w:pos="4748" w:val="left"/>
          <w:tab w:pos="6316" w:val="left"/>
          <w:tab w:pos="7382" w:val="left"/>
          <w:tab w:pos="8098" w:val="left"/>
        </w:tabs>
        <w:autoSpaceDE w:val="0"/>
        <w:widowControl/>
        <w:spacing w:line="292" w:lineRule="exact" w:before="294" w:after="0"/>
        <w:ind w:left="260" w:right="144" w:firstLine="0"/>
        <w:jc w:val="left"/>
      </w:pPr>
      <w:r>
        <w:rPr>
          <w:rFonts w:ascii="" w:hAnsi="" w:eastAsia=""/>
          <w:b/>
          <w:i w:val="0"/>
          <w:color w:val="000000"/>
          <w:sz w:val="24"/>
        </w:rPr>
        <w:t xml:space="preserve">REFERENCES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Arendsen, L. P., Thakar, R., Bassett, P., &amp; Sultan, A. H. (2020). The impact of copper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impregnated wound dressings on surgical site infection following caesarean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section: a double blind randomised controlled study. </w:t>
      </w:r>
      <w:r>
        <w:rPr>
          <w:rFonts w:ascii="" w:hAnsi="" w:eastAsia=""/>
          <w:b w:val="0"/>
          <w:i/>
          <w:color w:val="000000"/>
          <w:sz w:val="24"/>
        </w:rPr>
        <w:t xml:space="preserve">European Journal of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 xml:space="preserve">Obstetrics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 xml:space="preserve">and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 xml:space="preserve">Gynecology </w:t>
      </w:r>
      <w:r>
        <w:rPr>
          <w:rFonts w:ascii="" w:hAnsi="" w:eastAsia=""/>
          <w:b w:val="0"/>
          <w:i/>
          <w:color w:val="000000"/>
          <w:sz w:val="24"/>
        </w:rPr>
        <w:t xml:space="preserve">and </w:t>
      </w:r>
      <w:r>
        <w:rPr>
          <w:rFonts w:ascii="" w:hAnsi="" w:eastAsia=""/>
          <w:b w:val="0"/>
          <w:i/>
          <w:color w:val="000000"/>
          <w:sz w:val="24"/>
        </w:rPr>
        <w:t xml:space="preserve">Reproductive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Biology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251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83–88. </w:t>
      </w:r>
    </w:p>
    <w:p>
      <w:pPr>
        <w:autoSpaceDN w:val="0"/>
        <w:tabs>
          <w:tab w:pos="740" w:val="left"/>
        </w:tabs>
        <w:autoSpaceDE w:val="0"/>
        <w:widowControl/>
        <w:spacing w:line="294" w:lineRule="exact" w:before="0" w:after="0"/>
        <w:ind w:left="260" w:right="14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https://doi.org/10.1016/j.ejogrb.2020.05.016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Chuang, S. T., Lo, S. F., Liao, P. L., Lin, P. Y., &amp; Tsay, S. F. (2023). Knowledge, attitude,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perceived barriers of hard-to-healed wound care and the association with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confidence: A cross-sectional study among community nurses. </w:t>
      </w:r>
      <w:r>
        <w:rPr>
          <w:rFonts w:ascii="" w:hAnsi="" w:eastAsia=""/>
          <w:b w:val="0"/>
          <w:i/>
          <w:color w:val="000000"/>
          <w:sz w:val="24"/>
        </w:rPr>
        <w:t xml:space="preserve">Journal of Tissue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Viability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rPr>
          <w:rFonts w:ascii="" w:hAnsi="" w:eastAsia=""/>
          <w:b w:val="0"/>
          <w:i/>
          <w:color w:val="000000"/>
          <w:sz w:val="24"/>
        </w:rPr>
        <w:t>32</w:t>
      </w:r>
      <w:r>
        <w:rPr>
          <w:rFonts w:ascii="" w:hAnsi="" w:eastAsia=""/>
          <w:b w:val="0"/>
          <w:i w:val="0"/>
          <w:color w:val="000000"/>
          <w:sz w:val="24"/>
        </w:rPr>
        <w:t xml:space="preserve">(4), 487–492. https://doi.org/10.1016/j.jtv.2023.08.003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De La Tejera, G., Corona, K., Efejuku, T., Keys, P., Joglar, A., Villarreal, E., Gotewal, S.,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Wermine, K., Huang, L., Golovko, G., El Ayadi, A., Palackic, A., Wolf, S. E., &amp; Song, J. </w:t>
      </w:r>
    </w:p>
    <w:p>
      <w:pPr>
        <w:autoSpaceDN w:val="0"/>
        <w:tabs>
          <w:tab w:pos="1536" w:val="left"/>
          <w:tab w:pos="2534" w:val="left"/>
          <w:tab w:pos="3144" w:val="left"/>
          <w:tab w:pos="4282" w:val="left"/>
          <w:tab w:pos="5568" w:val="left"/>
          <w:tab w:pos="6610" w:val="left"/>
          <w:tab w:pos="7612" w:val="left"/>
        </w:tabs>
        <w:autoSpaceDE w:val="0"/>
        <w:widowControl/>
        <w:spacing w:line="292" w:lineRule="exact" w:before="0" w:after="0"/>
        <w:ind w:left="74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(2023). Early wound excision within three days decreases risks of wound infection </w:t>
      </w:r>
      <w:r>
        <w:rPr>
          <w:rFonts w:ascii="" w:hAnsi="" w:eastAsia=""/>
          <w:b w:val="0"/>
          <w:i w:val="0"/>
          <w:color w:val="000000"/>
          <w:sz w:val="24"/>
        </w:rPr>
        <w:t xml:space="preserve">and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death </w:t>
      </w:r>
      <w:r>
        <w:rPr>
          <w:rFonts w:ascii="" w:hAnsi="" w:eastAsia=""/>
          <w:b w:val="0"/>
          <w:i w:val="0"/>
          <w:color w:val="000000"/>
          <w:sz w:val="24"/>
        </w:rPr>
        <w:t xml:space="preserve">in </w:t>
      </w:r>
      <w:r>
        <w:rPr>
          <w:rFonts w:ascii="" w:hAnsi="" w:eastAsia=""/>
          <w:b w:val="0"/>
          <w:i w:val="0"/>
          <w:color w:val="000000"/>
          <w:sz w:val="24"/>
        </w:rPr>
        <w:t xml:space="preserve">burned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patients. </w:t>
      </w:r>
      <w:r>
        <w:rPr>
          <w:rFonts w:ascii="" w:hAnsi="" w:eastAsia=""/>
          <w:b w:val="0"/>
          <w:i/>
          <w:color w:val="000000"/>
          <w:sz w:val="24"/>
        </w:rPr>
        <w:t>Burns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49</w:t>
      </w:r>
      <w:r>
        <w:rPr>
          <w:rFonts w:ascii="" w:hAnsi="" w:eastAsia=""/>
          <w:b w:val="0"/>
          <w:i w:val="0"/>
          <w:color w:val="000000"/>
          <w:sz w:val="24"/>
        </w:rPr>
        <w:t xml:space="preserve">(8),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1816–1822. </w:t>
      </w:r>
    </w:p>
    <w:p>
      <w:pPr>
        <w:autoSpaceDN w:val="0"/>
        <w:tabs>
          <w:tab w:pos="740" w:val="left"/>
        </w:tabs>
        <w:autoSpaceDE w:val="0"/>
        <w:widowControl/>
        <w:spacing w:line="292" w:lineRule="exact" w:before="0" w:after="0"/>
        <w:ind w:left="260" w:right="14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https://doi.org/10.1016/j.burns.2023.06.003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Eskandarinia, A., Morowvat, M. H., Niknezhad, S. V., Baghbadorani, M. A., Michálek, M.,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Chen, S., Nemati, M. M., Negahdaripour, M., Heidari, R., Azadi, A., &amp; Ghasemi, Y. </w:t>
      </w:r>
    </w:p>
    <w:p>
      <w:pPr>
        <w:autoSpaceDN w:val="0"/>
        <w:autoSpaceDE w:val="0"/>
        <w:widowControl/>
        <w:spacing w:line="294" w:lineRule="exact" w:before="0" w:after="0"/>
        <w:ind w:left="74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(2024). A photocrosslinkable and hemostatic bilayer wound dressing based on </w:t>
      </w:r>
      <w:r>
        <w:rPr>
          <w:rFonts w:ascii="" w:hAnsi="" w:eastAsia=""/>
          <w:b w:val="0"/>
          <w:i w:val="0"/>
          <w:color w:val="000000"/>
          <w:sz w:val="24"/>
        </w:rPr>
        <w:t xml:space="preserve">gelatin methacrylate hydrogel and polyvinyl alcohol foam for skin regeneration. </w:t>
      </w:r>
    </w:p>
    <w:p>
      <w:pPr>
        <w:autoSpaceDN w:val="0"/>
        <w:tabs>
          <w:tab w:pos="2572" w:val="left"/>
          <w:tab w:pos="3844" w:val="left"/>
          <w:tab w:pos="4604" w:val="left"/>
          <w:tab w:pos="6112" w:val="left"/>
          <w:tab w:pos="8338" w:val="left"/>
        </w:tabs>
        <w:autoSpaceDE w:val="0"/>
        <w:widowControl/>
        <w:spacing w:line="292" w:lineRule="exact" w:before="0" w:after="0"/>
        <w:ind w:left="74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International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 xml:space="preserve">Journal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 xml:space="preserve">of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 xml:space="preserve">Biological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Macromolecules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266</w:t>
      </w:r>
      <w:r>
        <w:rPr>
          <w:rFonts w:ascii="" w:hAnsi="" w:eastAsia="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92" w:lineRule="exact" w:before="0" w:after="0"/>
        <w:ind w:left="74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https://doi.org/10.1016/j.ijbiomac.2024.131231 </w:t>
      </w:r>
    </w:p>
    <w:p>
      <w:pPr>
        <w:autoSpaceDN w:val="0"/>
        <w:tabs>
          <w:tab w:pos="8400" w:val="left"/>
        </w:tabs>
        <w:autoSpaceDE w:val="0"/>
        <w:widowControl/>
        <w:spacing w:line="292" w:lineRule="exact" w:before="952" w:after="0"/>
        <w:ind w:left="258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Journal of Health Science, Vol. 5, No. 5, May 2024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358 </w:t>
      </w:r>
    </w:p>
    <w:p>
      <w:pPr>
        <w:sectPr>
          <w:pgSz w:w="11909" w:h="16838"/>
          <w:pgMar w:top="356" w:right="1440" w:bottom="3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92" w:lineRule="exact" w:before="2" w:after="0"/>
        <w:ind w:left="4452" w:right="144" w:hanging="401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Comparison of Conventional and Modern Wound Care in Post-Section Wounds at Cut </w:t>
      </w:r>
      <w:r>
        <w:rPr>
          <w:rFonts w:ascii="" w:hAnsi="" w:eastAsia=""/>
          <w:b w:val="0"/>
          <w:i w:val="0"/>
          <w:color w:val="000000"/>
          <w:sz w:val="24"/>
        </w:rPr>
        <w:t xml:space="preserve">Mutia Hospital, North Aceh Regency in 2023 </w:t>
      </w:r>
    </w:p>
    <w:p>
      <w:pPr>
        <w:autoSpaceDN w:val="0"/>
        <w:tabs>
          <w:tab w:pos="740" w:val="left"/>
          <w:tab w:pos="1512" w:val="left"/>
          <w:tab w:pos="1886" w:val="left"/>
          <w:tab w:pos="2724" w:val="left"/>
          <w:tab w:pos="3702" w:val="left"/>
          <w:tab w:pos="5210" w:val="left"/>
          <w:tab w:pos="6082" w:val="left"/>
          <w:tab w:pos="7170" w:val="left"/>
          <w:tab w:pos="7854" w:val="left"/>
        </w:tabs>
        <w:autoSpaceDE w:val="0"/>
        <w:widowControl/>
        <w:spacing w:line="294" w:lineRule="exact" w:before="402" w:after="0"/>
        <w:ind w:left="26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Flora, R. M. N., Palani, S., Renuka, V., &amp; Chamundeeswari, M. (2023). An in-vitro study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on post-surgical breast wound healing activity by zinc oxide dots and its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optimization using Box Behnken design. </w:t>
      </w:r>
      <w:r>
        <w:rPr>
          <w:rFonts w:ascii="" w:hAnsi="" w:eastAsia=""/>
          <w:b w:val="0"/>
          <w:i/>
          <w:color w:val="000000"/>
          <w:sz w:val="24"/>
        </w:rPr>
        <w:t xml:space="preserve">Journal of Drug Delivery Science and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Technology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rPr>
          <w:rFonts w:ascii="" w:hAnsi="" w:eastAsia=""/>
          <w:b w:val="0"/>
          <w:i/>
          <w:color w:val="000000"/>
          <w:sz w:val="24"/>
        </w:rPr>
        <w:t>90</w:t>
      </w:r>
      <w:r>
        <w:rPr>
          <w:rFonts w:ascii="" w:hAnsi="" w:eastAsia=""/>
          <w:b w:val="0"/>
          <w:i w:val="0"/>
          <w:color w:val="000000"/>
          <w:sz w:val="24"/>
        </w:rPr>
        <w:t xml:space="preserve">. https://doi.org/10.1016/j.jddst.2023.105094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Galosi, A. B., Delle Fave, R. F., Perpepaj, L., Milanese, G., Polisini, G., Mantovan, M.,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Brocca, C., Palantrani, V., Tramanzoli, P., Antezza, A., De Angelis, M. V., Giulioni, C.,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&amp; Castellani, D. (2024). Does Alexis Wound Protector/Retractor Reduce the Risk of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Surgical Site Infections After Open Radical Cystectomy for Bladder Cancer? Results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From </w:t>
      </w:r>
      <w:r>
        <w:rPr>
          <w:rFonts w:ascii="" w:hAnsi="" w:eastAsia=""/>
          <w:b w:val="0"/>
          <w:i w:val="0"/>
          <w:color w:val="000000"/>
          <w:sz w:val="24"/>
        </w:rPr>
        <w:t xml:space="preserve">a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Single </w:t>
      </w:r>
      <w:r>
        <w:rPr>
          <w:rFonts w:ascii="" w:hAnsi="" w:eastAsia=""/>
          <w:b w:val="0"/>
          <w:i w:val="0"/>
          <w:color w:val="000000"/>
          <w:sz w:val="24"/>
        </w:rPr>
        <w:t xml:space="preserve">Center,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Comparative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Study.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Urology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184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162–168. </w:t>
      </w:r>
    </w:p>
    <w:p>
      <w:pPr>
        <w:autoSpaceDN w:val="0"/>
        <w:tabs>
          <w:tab w:pos="740" w:val="left"/>
        </w:tabs>
        <w:autoSpaceDE w:val="0"/>
        <w:widowControl/>
        <w:spacing w:line="292" w:lineRule="exact" w:before="0" w:after="0"/>
        <w:ind w:left="260" w:right="14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https://doi.org/10.1016/j.urology.2023.09.054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Ghosh, S., Kulkarni, S., More, N., Singh, N. K., Velyutham, R., Kumar, N. R., &amp; Kapusetti,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G. (2023). Cellulose-based bioabsorbable and antibiotic coated surgical staple with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bioinspired design for efficient wound closure. </w:t>
      </w:r>
      <w:r>
        <w:rPr>
          <w:rFonts w:ascii="" w:hAnsi="" w:eastAsia=""/>
          <w:b w:val="0"/>
          <w:i/>
          <w:color w:val="000000"/>
          <w:sz w:val="24"/>
        </w:rPr>
        <w:t xml:space="preserve">International Journal of Biological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Macromolecules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rPr>
          <w:rFonts w:ascii="" w:hAnsi="" w:eastAsia=""/>
          <w:b w:val="0"/>
          <w:i/>
          <w:color w:val="000000"/>
          <w:sz w:val="24"/>
        </w:rPr>
        <w:t>248</w:t>
      </w:r>
      <w:r>
        <w:rPr>
          <w:rFonts w:ascii="" w:hAnsi="" w:eastAsia=""/>
          <w:b w:val="0"/>
          <w:i w:val="0"/>
          <w:color w:val="000000"/>
          <w:sz w:val="24"/>
        </w:rPr>
        <w:t xml:space="preserve">. https://doi.org/10.1016/j.ijbiomac.2023.126477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Kaminsky, L. A., German, C., Imboden, M., Ozemek, C., Peterman, J. E., &amp; Brubaker, P. H. </w:t>
      </w:r>
    </w:p>
    <w:p>
      <w:pPr>
        <w:autoSpaceDN w:val="0"/>
        <w:autoSpaceDE w:val="0"/>
        <w:widowControl/>
        <w:spacing w:line="294" w:lineRule="exact" w:before="0" w:after="0"/>
        <w:ind w:left="74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(2022). The importance of healthy lifestyle behaviors in the prevention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cardiovascular disease. </w:t>
      </w:r>
      <w:r>
        <w:rPr>
          <w:rFonts w:ascii="" w:hAnsi="" w:eastAsia=""/>
          <w:b w:val="0"/>
          <w:i/>
          <w:color w:val="000000"/>
          <w:sz w:val="24"/>
        </w:rPr>
        <w:t>Progress in Cardiovascular Diseases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rPr>
          <w:rFonts w:ascii="" w:hAnsi="" w:eastAsia=""/>
          <w:b w:val="0"/>
          <w:i/>
          <w:color w:val="000000"/>
          <w:sz w:val="24"/>
        </w:rPr>
        <w:t>70</w:t>
      </w:r>
      <w:r>
        <w:rPr>
          <w:rFonts w:ascii="" w:hAnsi="" w:eastAsia=""/>
          <w:b w:val="0"/>
          <w:i w:val="0"/>
          <w:color w:val="000000"/>
          <w:sz w:val="24"/>
        </w:rPr>
        <w:t xml:space="preserve">, 8–15. </w:t>
      </w:r>
    </w:p>
    <w:p>
      <w:pPr>
        <w:autoSpaceDN w:val="0"/>
        <w:tabs>
          <w:tab w:pos="740" w:val="left"/>
        </w:tabs>
        <w:autoSpaceDE w:val="0"/>
        <w:widowControl/>
        <w:spacing w:line="292" w:lineRule="exact" w:before="0" w:after="0"/>
        <w:ind w:left="26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Kholeif, M. F. M. A., Herpertz, G. U., Bräuer, A., &amp; Radke, O. C. (2024). Prewarming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Parturients for Cesarean Section Does Not Raise Wound Temperature But Body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Heat and Level of Comfort: A Randomized Trial. </w:t>
      </w:r>
      <w:r>
        <w:rPr>
          <w:rFonts w:ascii="" w:hAnsi="" w:eastAsia=""/>
          <w:b w:val="0"/>
          <w:i/>
          <w:color w:val="000000"/>
          <w:sz w:val="24"/>
        </w:rPr>
        <w:t>Journal of Perianesthesia Nursing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39</w:t>
      </w:r>
      <w:r>
        <w:rPr>
          <w:rFonts w:ascii="" w:hAnsi="" w:eastAsia=""/>
          <w:b w:val="0"/>
          <w:i w:val="0"/>
          <w:color w:val="000000"/>
          <w:sz w:val="24"/>
        </w:rPr>
        <w:t xml:space="preserve">(1), 58–65. https://doi.org/10.1016/j.jopan.2023.06.001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Kielo-Viljamaa, E., Suhonen, R., Jalonen, L., &amp; Stolt, M. (2022). Areas of nursing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competence in acute wound care: A focus group study. </w:t>
      </w:r>
      <w:r>
        <w:rPr>
          <w:rFonts w:ascii="" w:hAnsi="" w:eastAsia=""/>
          <w:b w:val="0"/>
          <w:i/>
          <w:color w:val="000000"/>
          <w:sz w:val="24"/>
        </w:rPr>
        <w:t>Collegian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rPr>
          <w:rFonts w:ascii="" w:hAnsi="" w:eastAsia=""/>
          <w:b w:val="0"/>
          <w:i/>
          <w:color w:val="000000"/>
          <w:sz w:val="24"/>
        </w:rPr>
        <w:t>29</w:t>
      </w:r>
      <w:r>
        <w:rPr>
          <w:rFonts w:ascii="" w:hAnsi="" w:eastAsia=""/>
          <w:b w:val="0"/>
          <w:i w:val="0"/>
          <w:color w:val="000000"/>
          <w:sz w:val="24"/>
        </w:rPr>
        <w:t xml:space="preserve">(1), 44–53. </w:t>
      </w:r>
    </w:p>
    <w:p>
      <w:pPr>
        <w:autoSpaceDN w:val="0"/>
        <w:tabs>
          <w:tab w:pos="740" w:val="left"/>
          <w:tab w:pos="1680" w:val="left"/>
          <w:tab w:pos="2714" w:val="left"/>
          <w:tab w:pos="4356" w:val="left"/>
          <w:tab w:pos="6304" w:val="left"/>
          <w:tab w:pos="8338" w:val="left"/>
        </w:tabs>
        <w:autoSpaceDE w:val="0"/>
        <w:widowControl/>
        <w:spacing w:line="292" w:lineRule="exact" w:before="2" w:after="0"/>
        <w:ind w:left="260" w:right="14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https://doi.org/10.1016/j.colegn.2021.04.003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Kivimäki, M., Virtanen, M., Nyberg, S. T., &amp; David Batty, G. (2020). The WHO/ILO report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on long working hours and ischaemic heart disease – Conclusions are not supported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by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the </w:t>
      </w:r>
      <w:r>
        <w:rPr>
          <w:rFonts w:ascii="" w:hAnsi="" w:eastAsia=""/>
          <w:b w:val="0"/>
          <w:i w:val="0"/>
          <w:color w:val="000000"/>
          <w:sz w:val="24"/>
        </w:rPr>
        <w:t xml:space="preserve">evidence.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 xml:space="preserve">Environment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International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144</w:t>
      </w:r>
      <w:r>
        <w:rPr>
          <w:rFonts w:ascii="" w:hAnsi="" w:eastAsia="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740" w:val="left"/>
        </w:tabs>
        <w:autoSpaceDE w:val="0"/>
        <w:widowControl/>
        <w:spacing w:line="292" w:lineRule="exact" w:before="0" w:after="0"/>
        <w:ind w:left="260" w:right="14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https://doi.org/10.1016/j.envint.2020.106048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Ko, E., Choi, S. U., Lee, J., Choi, E. S., &amp; Park, Y. S. (2024). Exploring the Utility of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remimazolam in cesarean sections under general anesthesia: A preliminary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retrospective analysis and Implications for future study. </w:t>
      </w:r>
      <w:r>
        <w:rPr>
          <w:rFonts w:ascii="" w:hAnsi="" w:eastAsia=""/>
          <w:b w:val="0"/>
          <w:i/>
          <w:color w:val="000000"/>
          <w:sz w:val="24"/>
        </w:rPr>
        <w:t>Heliyon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rPr>
          <w:rFonts w:ascii="" w:hAnsi="" w:eastAsia=""/>
          <w:b w:val="0"/>
          <w:i/>
          <w:color w:val="000000"/>
          <w:sz w:val="24"/>
        </w:rPr>
        <w:t>10</w:t>
      </w:r>
      <w:r>
        <w:rPr>
          <w:rFonts w:ascii="" w:hAnsi="" w:eastAsia=""/>
          <w:b w:val="0"/>
          <w:i w:val="0"/>
          <w:color w:val="000000"/>
          <w:sz w:val="24"/>
        </w:rPr>
        <w:t xml:space="preserve">(7). </w:t>
      </w:r>
    </w:p>
    <w:p>
      <w:pPr>
        <w:autoSpaceDN w:val="0"/>
        <w:tabs>
          <w:tab w:pos="740" w:val="left"/>
        </w:tabs>
        <w:autoSpaceDE w:val="0"/>
        <w:widowControl/>
        <w:spacing w:line="294" w:lineRule="exact" w:before="0" w:after="0"/>
        <w:ind w:left="260" w:right="14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https://doi.org/10.1016/j.heliyon.2024.e28485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Li, J., Pega, F., Ujita, Y., Brisson, C., Clays, E., Descatha, A., Ferrario, M. M., Godderis, L.,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Iavicoli, S., Landsbergis, P. A., Metzendorf, M. I., Morgan, R. L., Pachito, D. V.,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Pikhart, H., Richter, B., Roncaioli, M., Rugulies, R., Schnall, P. L., Sembajwe, G., …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Siegrist, J. (2020). The effect of exposure to long working hours on ischaemic heart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disease: A systematic review and meta-analysis from the WHO/ILO Joint Estimates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of the Work-related Burden of Disease and Injury. </w:t>
      </w:r>
      <w:r>
        <w:rPr>
          <w:rFonts w:ascii="" w:hAnsi="" w:eastAsia=""/>
          <w:b w:val="0"/>
          <w:i/>
          <w:color w:val="000000"/>
          <w:sz w:val="24"/>
        </w:rPr>
        <w:t>Environment International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rPr>
          <w:rFonts w:ascii="" w:hAnsi="" w:eastAsia=""/>
          <w:b w:val="0"/>
          <w:i/>
          <w:color w:val="000000"/>
          <w:sz w:val="24"/>
        </w:rPr>
        <w:t>142</w:t>
      </w:r>
      <w:r>
        <w:rPr>
          <w:rFonts w:ascii="" w:hAnsi="" w:eastAsia="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740" w:val="left"/>
        </w:tabs>
        <w:autoSpaceDE w:val="0"/>
        <w:widowControl/>
        <w:spacing w:line="292" w:lineRule="exact" w:before="0" w:after="0"/>
        <w:ind w:left="260" w:right="14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https://doi.org/10.1016/j.envint.2020.105739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Mattocks, K., Marteeny, V., Walker, L., Wallace, K., Goldstein, K. M., Deans, E., Brewer,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E., Bean-Mayberry, B., &amp; Kroll-Desrosiers, A. (2024). Experiences and Perceptions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of Maternal Autonomy and Racism Among BIPOC Veterans Receiving Cesarean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Sections. </w:t>
      </w:r>
      <w:r>
        <w:rPr>
          <w:rFonts w:ascii="" w:hAnsi="" w:eastAsia=""/>
          <w:b w:val="0"/>
          <w:i/>
          <w:color w:val="000000"/>
          <w:sz w:val="24"/>
        </w:rPr>
        <w:t>Women’s Health Issues</w:t>
      </w:r>
      <w:r>
        <w:rPr>
          <w:rFonts w:ascii="" w:hAnsi="" w:eastAsia=""/>
          <w:b w:val="0"/>
          <w:i w:val="0"/>
          <w:color w:val="000000"/>
          <w:sz w:val="24"/>
        </w:rPr>
        <w:t xml:space="preserve">. https://doi.org/10.1016/J.WHI.2024.04.001 </w:t>
      </w:r>
      <w:r>
        <w:rPr>
          <w:rFonts w:ascii="" w:hAnsi="" w:eastAsia=""/>
          <w:b w:val="0"/>
          <w:i w:val="0"/>
          <w:color w:val="000000"/>
          <w:sz w:val="24"/>
        </w:rPr>
        <w:t xml:space="preserve">Moquillaza-Alcantara, V. H., &amp; Palacios-Vivanco, D. P. (2023). Cesarean section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prevalence based on prenatal care provider, location, and wealth index: A </w:t>
      </w:r>
    </w:p>
    <w:p>
      <w:pPr>
        <w:autoSpaceDN w:val="0"/>
        <w:tabs>
          <w:tab w:pos="8400" w:val="left"/>
        </w:tabs>
        <w:autoSpaceDE w:val="0"/>
        <w:widowControl/>
        <w:spacing w:line="292" w:lineRule="exact" w:before="952" w:after="0"/>
        <w:ind w:left="258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Journal of Health Science, Vol. 5, No. 5, May 2024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359 </w:t>
      </w:r>
    </w:p>
    <w:p>
      <w:pPr>
        <w:sectPr>
          <w:pgSz w:w="11909" w:h="16838"/>
          <w:pgMar w:top="356" w:right="1440" w:bottom="3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26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Yusnidaryani, Said Taufiq, Marlina, M. Jamil Fauzi </w:t>
      </w:r>
    </w:p>
    <w:p>
      <w:pPr>
        <w:autoSpaceDN w:val="0"/>
        <w:tabs>
          <w:tab w:pos="740" w:val="left"/>
          <w:tab w:pos="1952" w:val="left"/>
          <w:tab w:pos="2568" w:val="left"/>
          <w:tab w:pos="3656" w:val="left"/>
          <w:tab w:pos="4946" w:val="left"/>
          <w:tab w:pos="6428" w:val="left"/>
          <w:tab w:pos="7040" w:val="left"/>
          <w:tab w:pos="8314" w:val="left"/>
        </w:tabs>
        <w:autoSpaceDE w:val="0"/>
        <w:widowControl/>
        <w:spacing w:line="294" w:lineRule="exact" w:before="694" w:after="0"/>
        <w:ind w:left="260" w:right="14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comparative analysis in peru’s healthcare systems. </w:t>
      </w:r>
      <w:r>
        <w:rPr>
          <w:rFonts w:ascii="" w:hAnsi="" w:eastAsia=""/>
          <w:b w:val="0"/>
          <w:i/>
          <w:color w:val="000000"/>
          <w:sz w:val="24"/>
        </w:rPr>
        <w:t xml:space="preserve">Sexual and Reproductive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Healthcare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rPr>
          <w:rFonts w:ascii="" w:hAnsi="" w:eastAsia=""/>
          <w:b w:val="0"/>
          <w:i/>
          <w:color w:val="000000"/>
          <w:sz w:val="24"/>
        </w:rPr>
        <w:t>38</w:t>
      </w:r>
      <w:r>
        <w:rPr>
          <w:rFonts w:ascii="" w:hAnsi="" w:eastAsia=""/>
          <w:b w:val="0"/>
          <w:i w:val="0"/>
          <w:color w:val="000000"/>
          <w:sz w:val="24"/>
        </w:rPr>
        <w:t xml:space="preserve">. https://doi.org/10.1016/j.srhc.2023.100924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Noor, H., Verdiales, C., &amp; Moser, M. (2023). Protective Effect of Subcutaneous Drains on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Wound Infections in Kidney Transplantation. </w:t>
      </w:r>
      <w:r>
        <w:rPr>
          <w:rFonts w:ascii="" w:hAnsi="" w:eastAsia=""/>
          <w:b w:val="0"/>
          <w:i/>
          <w:color w:val="000000"/>
          <w:sz w:val="24"/>
        </w:rPr>
        <w:t>Transplantation Proceedings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rPr>
          <w:rFonts w:ascii="" w:hAnsi="" w:eastAsia=""/>
          <w:b w:val="0"/>
          <w:i/>
          <w:color w:val="000000"/>
          <w:sz w:val="24"/>
        </w:rPr>
        <w:t>55</w:t>
      </w:r>
      <w:r>
        <w:rPr>
          <w:rFonts w:ascii="" w:hAnsi="" w:eastAsia=""/>
          <w:b w:val="0"/>
          <w:i w:val="0"/>
          <w:color w:val="000000"/>
          <w:sz w:val="24"/>
        </w:rPr>
        <w:t xml:space="preserve">(9),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2110–2113. https://doi.org/10.1016/j.transproceed.2023.08.019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Noor, N. M., Özgen, S., &amp; Özbaş, Z. (2024). Development of thymol-loaded polymeric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films designed as wound dressing materials: Physical, antioxidant, antibacterial,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cytocompatibility, and wound healing properties. </w:t>
      </w:r>
      <w:r>
        <w:rPr>
          <w:rFonts w:ascii="" w:hAnsi="" w:eastAsia=""/>
          <w:b w:val="0"/>
          <w:i/>
          <w:color w:val="000000"/>
          <w:sz w:val="24"/>
        </w:rPr>
        <w:t xml:space="preserve">Journal of Drug Delivery Science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and Technology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rPr>
          <w:rFonts w:ascii="" w:hAnsi="" w:eastAsia=""/>
          <w:b w:val="0"/>
          <w:i/>
          <w:color w:val="000000"/>
          <w:sz w:val="24"/>
        </w:rPr>
        <w:t>97</w:t>
      </w:r>
      <w:r>
        <w:rPr>
          <w:rFonts w:ascii="" w:hAnsi="" w:eastAsia=""/>
          <w:b w:val="0"/>
          <w:i w:val="0"/>
          <w:color w:val="000000"/>
          <w:sz w:val="24"/>
        </w:rPr>
        <w:t xml:space="preserve">. https://doi.org/10.1016/j.jddst.2024.105744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Odada, D., Shah, J., Mbithi, A., &amp; Shah, R. (2024). Surgical site infections post cesarean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section and associated risk factors: a retrospective case-control study at a tertiary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hospital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in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Kenya.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 xml:space="preserve">Infection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 xml:space="preserve">Prevention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 xml:space="preserve">in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Practice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6</w:t>
      </w:r>
      <w:r>
        <w:rPr>
          <w:rFonts w:ascii="" w:hAnsi="" w:eastAsia=""/>
          <w:b w:val="0"/>
          <w:i w:val="0"/>
          <w:color w:val="000000"/>
          <w:sz w:val="24"/>
        </w:rPr>
        <w:t xml:space="preserve">(1). </w:t>
      </w:r>
    </w:p>
    <w:p>
      <w:pPr>
        <w:autoSpaceDN w:val="0"/>
        <w:tabs>
          <w:tab w:pos="740" w:val="left"/>
        </w:tabs>
        <w:autoSpaceDE w:val="0"/>
        <w:widowControl/>
        <w:spacing w:line="292" w:lineRule="exact" w:before="0" w:after="0"/>
        <w:ind w:left="260" w:right="14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https://doi.org/10.1016/j.infpip.2023.100333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Ou, K., Liu, Y., Deng, L., Chen, S., Gu, S., &amp; Wang, B. (2024). Covalently grafting polycation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to bacterial cellulose for antibacterial and anti-cell adhesive wound dressings. </w:t>
      </w:r>
    </w:p>
    <w:p>
      <w:pPr>
        <w:autoSpaceDN w:val="0"/>
        <w:tabs>
          <w:tab w:pos="2572" w:val="left"/>
          <w:tab w:pos="3844" w:val="left"/>
          <w:tab w:pos="4604" w:val="left"/>
          <w:tab w:pos="6112" w:val="left"/>
          <w:tab w:pos="8338" w:val="left"/>
        </w:tabs>
        <w:autoSpaceDE w:val="0"/>
        <w:widowControl/>
        <w:spacing w:line="292" w:lineRule="exact" w:before="0" w:after="0"/>
        <w:ind w:left="740" w:right="0" w:firstLine="0"/>
        <w:jc w:val="left"/>
      </w:pPr>
      <w:r>
        <w:rPr>
          <w:rFonts w:ascii="" w:hAnsi="" w:eastAsia=""/>
          <w:b w:val="0"/>
          <w:i/>
          <w:color w:val="000000"/>
          <w:sz w:val="24"/>
        </w:rPr>
        <w:t xml:space="preserve">International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 xml:space="preserve">Journal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 xml:space="preserve">of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 xml:space="preserve">Biological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Macromolecules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269</w:t>
      </w:r>
      <w:r>
        <w:rPr>
          <w:rFonts w:ascii="" w:hAnsi="" w:eastAsia="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740" w:val="left"/>
          <w:tab w:pos="2010" w:val="left"/>
          <w:tab w:pos="3626" w:val="left"/>
          <w:tab w:pos="4680" w:val="left"/>
          <w:tab w:pos="5222" w:val="left"/>
          <w:tab w:pos="6142" w:val="left"/>
          <w:tab w:pos="7244" w:val="left"/>
          <w:tab w:pos="8460" w:val="left"/>
        </w:tabs>
        <w:autoSpaceDE w:val="0"/>
        <w:widowControl/>
        <w:spacing w:line="292" w:lineRule="exact" w:before="2" w:after="0"/>
        <w:ind w:left="260" w:right="14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https://doi.org/10.1016/j.ijbiomac.2024.132157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Peter, E. G., &amp; Ali Seif, S. (2022). The influence of home environment and wound care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practice on surgical site infection among post cesarean section women in Dodoma- </w:t>
      </w:r>
      <w:r>
        <w:tab/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 xml:space="preserve">International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 xml:space="preserve">Journal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 xml:space="preserve">of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 xml:space="preserve">Africa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 xml:space="preserve">Nursing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Sciences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17</w:t>
      </w:r>
      <w:r>
        <w:rPr>
          <w:rFonts w:ascii="" w:hAnsi="" w:eastAsia=""/>
          <w:b w:val="0"/>
          <w:i w:val="0"/>
          <w:color w:val="000000"/>
          <w:sz w:val="24"/>
        </w:rPr>
        <w:t xml:space="preserve">. </w:t>
      </w:r>
      <w:r>
        <w:rPr>
          <w:rFonts w:ascii="" w:hAnsi="" w:eastAsia=""/>
          <w:b w:val="0"/>
          <w:i w:val="0"/>
          <w:color w:val="000000"/>
          <w:sz w:val="24"/>
        </w:rPr>
        <w:t xml:space="preserve">Tanzania. </w:t>
      </w:r>
    </w:p>
    <w:p>
      <w:pPr>
        <w:autoSpaceDN w:val="0"/>
        <w:tabs>
          <w:tab w:pos="740" w:val="left"/>
        </w:tabs>
        <w:autoSpaceDE w:val="0"/>
        <w:widowControl/>
        <w:spacing w:line="292" w:lineRule="exact" w:before="0" w:after="0"/>
        <w:ind w:left="260" w:right="14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https://doi.org/10.1016/j.ijans.2022.100474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Tian, J., Peng, J., Hu, C., Lei, S., &amp; Wu, D. (2024). A general strategy for prepared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multifunction double-ions agarose hydrogel dressing promotes wound healing. </w:t>
      </w:r>
    </w:p>
    <w:p>
      <w:pPr>
        <w:autoSpaceDN w:val="0"/>
        <w:tabs>
          <w:tab w:pos="740" w:val="left"/>
          <w:tab w:pos="2614" w:val="left"/>
          <w:tab w:pos="4450" w:val="left"/>
          <w:tab w:pos="5972" w:val="left"/>
          <w:tab w:pos="7392" w:val="left"/>
        </w:tabs>
        <w:autoSpaceDE w:val="0"/>
        <w:widowControl/>
        <w:spacing w:line="292" w:lineRule="exact" w:before="2" w:after="0"/>
        <w:ind w:left="260" w:right="144" w:firstLine="0"/>
        <w:jc w:val="left"/>
      </w:pPr>
      <w:r>
        <w:tab/>
      </w:r>
      <w:r>
        <w:rPr>
          <w:rFonts w:ascii="" w:hAnsi="" w:eastAsia=""/>
          <w:b w:val="0"/>
          <w:i/>
          <w:color w:val="000000"/>
          <w:sz w:val="24"/>
        </w:rPr>
        <w:t>Materials and Design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rPr>
          <w:rFonts w:ascii="" w:hAnsi="" w:eastAsia=""/>
          <w:b w:val="0"/>
          <w:i/>
          <w:color w:val="000000"/>
          <w:sz w:val="24"/>
        </w:rPr>
        <w:t>240</w:t>
      </w:r>
      <w:r>
        <w:rPr>
          <w:rFonts w:ascii="" w:hAnsi="" w:eastAsia=""/>
          <w:b w:val="0"/>
          <w:i w:val="0"/>
          <w:color w:val="000000"/>
          <w:sz w:val="24"/>
        </w:rPr>
        <w:t xml:space="preserve">. https://doi.org/10.1016/j.matdes.2024.112854 </w:t>
      </w:r>
      <w:r>
        <w:rPr>
          <w:rFonts w:ascii="" w:hAnsi="" w:eastAsia=""/>
          <w:b w:val="0"/>
          <w:i w:val="0"/>
          <w:color w:val="000000"/>
          <w:sz w:val="24"/>
        </w:rPr>
        <w:t xml:space="preserve">Xu, H., Zhang, Y., Ma, J., Miao, H., Chen, S., Gao, S., Rong, H., Deng, L., Zhang, J., Dong,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A., &amp; Li, S. (2024). Preparation and characterization of a polyurethane-based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sponge wound dressing with a superhydrophobic layer and an antimicrobial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adherent </w:t>
      </w:r>
      <w:r>
        <w:rPr>
          <w:rFonts w:ascii="" w:hAnsi="" w:eastAsia=""/>
          <w:b w:val="0"/>
          <w:i w:val="0"/>
          <w:color w:val="000000"/>
          <w:sz w:val="24"/>
        </w:rPr>
        <w:t xml:space="preserve">hydrogel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layer.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 xml:space="preserve">Acta </w:t>
      </w:r>
      <w:r>
        <w:tab/>
      </w:r>
      <w:r>
        <w:rPr>
          <w:rFonts w:ascii="" w:hAnsi="" w:eastAsia=""/>
          <w:b w:val="0"/>
          <w:i/>
          <w:color w:val="000000"/>
          <w:sz w:val="24"/>
        </w:rPr>
        <w:t>Biomaterialia</w:t>
      </w:r>
      <w:r>
        <w:rPr>
          <w:rFonts w:ascii="" w:hAnsi="" w:eastAsia="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740" w:val="left"/>
        </w:tabs>
        <w:autoSpaceDE w:val="0"/>
        <w:widowControl/>
        <w:spacing w:line="292" w:lineRule="exact" w:before="2" w:after="0"/>
        <w:ind w:left="260" w:right="14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4"/>
        </w:rPr>
        <w:t xml:space="preserve">https://doi.org/10.1016/j.actbio.2024.04.042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Zhang, Q., Zou, Y., Tang, L., Liu, X., Hu, M., Han, H., Li, Y., Wang, F., Wang, L., &amp; Mao, J. </w:t>
      </w:r>
    </w:p>
    <w:p>
      <w:pPr>
        <w:autoSpaceDN w:val="0"/>
        <w:autoSpaceDE w:val="0"/>
        <w:widowControl/>
        <w:spacing w:line="292" w:lineRule="exact" w:before="0" w:after="0"/>
        <w:ind w:left="740" w:right="14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(2023). Stage-controlled antibacterial surgical sutures based on curcumin@ZIF-8 </w:t>
      </w:r>
      <w:r>
        <w:rPr>
          <w:rFonts w:ascii="" w:hAnsi="" w:eastAsia=""/>
          <w:b w:val="0"/>
          <w:i w:val="0"/>
          <w:color w:val="000000"/>
          <w:sz w:val="24"/>
        </w:rPr>
        <w:t xml:space="preserve">functional coating for improved wound healing. </w:t>
      </w:r>
      <w:r>
        <w:rPr>
          <w:rFonts w:ascii="" w:hAnsi="" w:eastAsia=""/>
          <w:b w:val="0"/>
          <w:i/>
          <w:color w:val="000000"/>
          <w:sz w:val="24"/>
        </w:rPr>
        <w:t>Progress in Organic Coatings</w:t>
      </w:r>
      <w:r>
        <w:rPr>
          <w:rFonts w:ascii="" w:hAnsi="" w:eastAsia=""/>
          <w:b w:val="0"/>
          <w:i w:val="0"/>
          <w:color w:val="000000"/>
          <w:sz w:val="24"/>
        </w:rPr>
        <w:t xml:space="preserve">, </w:t>
      </w:r>
      <w:r>
        <w:rPr>
          <w:rFonts w:ascii="" w:hAnsi="" w:eastAsia=""/>
          <w:b w:val="0"/>
          <w:i/>
          <w:color w:val="000000"/>
          <w:sz w:val="24"/>
        </w:rPr>
        <w:t>184</w:t>
      </w:r>
      <w:r>
        <w:rPr>
          <w:rFonts w:ascii="" w:hAnsi="" w:eastAsia="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94" w:lineRule="exact" w:before="4" w:after="0"/>
        <w:ind w:left="74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https://doi.org/10.1016/j.porgcoat.2023.107829 </w:t>
      </w:r>
    </w:p>
    <w:p>
      <w:pPr>
        <w:autoSpaceDN w:val="0"/>
        <w:autoSpaceDE w:val="0"/>
        <w:widowControl/>
        <w:spacing w:line="292" w:lineRule="exact" w:before="336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Copyright Holder: </w:t>
      </w:r>
    </w:p>
    <w:p>
      <w:pPr>
        <w:autoSpaceDN w:val="0"/>
        <w:autoSpaceDE w:val="0"/>
        <w:widowControl/>
        <w:spacing w:line="292" w:lineRule="exact" w:before="4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>Yusnidaryani, Said Taufiq, Marlina, M. Jamil Fauzi</w:t>
      </w:r>
      <w:r>
        <w:rPr>
          <w:rFonts w:ascii="" w:hAnsi="" w:eastAsia=""/>
          <w:b w:val="0"/>
          <w:i w:val="0"/>
          <w:color w:val="000000"/>
          <w:sz w:val="24"/>
        </w:rPr>
        <w:t xml:space="preserve">(2024) </w:t>
      </w:r>
    </w:p>
    <w:p>
      <w:pPr>
        <w:autoSpaceDN w:val="0"/>
        <w:autoSpaceDE w:val="0"/>
        <w:widowControl/>
        <w:spacing w:line="292" w:lineRule="exact" w:before="336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First Publication Right: </w:t>
      </w:r>
    </w:p>
    <w:p>
      <w:pPr>
        <w:autoSpaceDN w:val="0"/>
        <w:autoSpaceDE w:val="0"/>
        <w:widowControl/>
        <w:spacing w:line="294" w:lineRule="exact" w:before="4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Jurnal Health Sains </w:t>
      </w:r>
    </w:p>
    <w:p>
      <w:pPr>
        <w:autoSpaceDN w:val="0"/>
        <w:autoSpaceDE w:val="0"/>
        <w:widowControl/>
        <w:spacing w:line="294" w:lineRule="exact" w:before="378" w:after="0"/>
        <w:ind w:left="0" w:right="2920" w:firstLine="0"/>
        <w:jc w:val="right"/>
      </w:pPr>
      <w:r>
        <w:rPr>
          <w:rFonts w:ascii="" w:hAnsi="" w:eastAsia=""/>
          <w:b w:val="0"/>
          <w:i w:val="0"/>
          <w:color w:val="000000"/>
          <w:sz w:val="24"/>
        </w:rPr>
        <w:t xml:space="preserve"> This article is licensed under: </w:t>
      </w:r>
    </w:p>
    <w:p>
      <w:pPr>
        <w:autoSpaceDN w:val="0"/>
        <w:autoSpaceDE w:val="0"/>
        <w:widowControl/>
        <w:spacing w:line="240" w:lineRule="auto" w:before="42" w:after="52"/>
        <w:ind w:left="0" w:right="380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38200" cy="2946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463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14"/>
        <w:gridCol w:w="4514"/>
      </w:tblGrid>
      <w:tr>
        <w:trPr>
          <w:trHeight w:hRule="exact" w:val="1240"/>
        </w:trPr>
        <w:tc>
          <w:tcPr>
            <w:tcW w:type="dxa" w:w="8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2"/>
        </w:trPr>
        <w:tc>
          <w:tcPr>
            <w:tcW w:type="dxa" w:w="6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1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Journal of Health Science, Vol. 5, No. 5, May 2024 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1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360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9" w:h="16838"/>
      <w:pgMar w:top="356" w:right="1440" w:bottom="35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said.taufiq@poltekkesaceh.ac.id" TargetMode="Externa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