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86170" cy="10909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090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30" w:val="left"/>
          <w:tab w:pos="6580" w:val="left"/>
        </w:tabs>
        <w:autoSpaceDE w:val="0"/>
        <w:widowControl/>
        <w:spacing w:line="245" w:lineRule="auto" w:before="2" w:after="0"/>
        <w:ind w:left="98" w:right="432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/>
          <w:i w:val="0"/>
          <w:color w:val="000000"/>
          <w:sz w:val="24"/>
        </w:rPr>
        <w:t>ISSN (E):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2832-9791|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Volume 28, | September - 2024 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15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40" w:lineRule="exact" w:before="188" w:after="0"/>
        <w:ind w:left="288" w:right="72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DEVELOPMENT OF METHODS FOR OBTAINING BAA, WHICH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IMPROVES THE QUALITY OF BAKERY PRODUCTS, BASED ON THE 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GRAINS COLLECTED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Mirxodjayeva Dilobar Davronbekovna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Associate Professor of Renessans University of Education. </w:t>
      </w:r>
    </w:p>
    <w:p>
      <w:pPr>
        <w:autoSpaceDN w:val="0"/>
        <w:autoSpaceDE w:val="0"/>
        <w:widowControl/>
        <w:spacing w:line="320" w:lineRule="exact" w:before="0" w:after="0"/>
        <w:ind w:left="15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dilimmirkhodjayeva@gmail.com (ORCID: 0000-0002-0497-6639) 1. </w:t>
      </w:r>
    </w:p>
    <w:p>
      <w:pPr>
        <w:autoSpaceDN w:val="0"/>
        <w:autoSpaceDE w:val="0"/>
        <w:widowControl/>
        <w:spacing w:line="318" w:lineRule="exact" w:before="314" w:after="0"/>
        <w:ind w:left="1296" w:right="172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Sanayev Ermat Shermatovich 2,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Associate Professor of the Tashkent Institute of Chemical and Technology. </w:t>
      </w:r>
    </w:p>
    <w:p>
      <w:pPr>
        <w:autoSpaceDN w:val="0"/>
        <w:autoSpaceDE w:val="0"/>
        <w:widowControl/>
        <w:spacing w:line="316" w:lineRule="exact" w:before="320" w:after="0"/>
        <w:ind w:left="2016" w:right="230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Turabdjanov Sadritdin Mahamadinovich 3,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Rector of Tashkent State Technical University, Academician </w:t>
      </w:r>
    </w:p>
    <w:p>
      <w:pPr>
        <w:autoSpaceDN w:val="0"/>
        <w:autoSpaceDE w:val="0"/>
        <w:widowControl/>
        <w:spacing w:line="318" w:lineRule="exact" w:before="318" w:after="342"/>
        <w:ind w:left="1440" w:right="187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Azamatov Umid Zokirovich 4,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Doctoral Student of the Tashkent Institute of Chemical and Technology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80"/>
        <w:gridCol w:w="5180"/>
      </w:tblGrid>
      <w:tr>
        <w:trPr>
          <w:trHeight w:hRule="exact" w:val="330"/>
        </w:trPr>
        <w:tc>
          <w:tcPr>
            <w:tcW w:type="dxa" w:w="738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 B S T R A C T</w:t>
            </w:r>
          </w:p>
        </w:tc>
        <w:tc>
          <w:tcPr>
            <w:tcW w:type="dxa" w:w="249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K E Y W O R D S</w:t>
            </w:r>
          </w:p>
        </w:tc>
      </w:tr>
      <w:tr>
        <w:trPr>
          <w:trHeight w:hRule="exact" w:val="2494"/>
        </w:trPr>
        <w:tc>
          <w:tcPr>
            <w:tcW w:type="dxa" w:w="7384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22" w:right="4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Grains harvested, grains containing all the original Bran and endosperm,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are 100% germinated, but their nutritional values do not decrease unless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they become grass. </w:t>
            </w:r>
          </w:p>
          <w:p>
            <w:pPr>
              <w:autoSpaceDN w:val="0"/>
              <w:autoSpaceDE w:val="0"/>
              <w:widowControl/>
              <w:spacing w:line="276" w:lineRule="exact" w:before="44" w:after="0"/>
              <w:ind w:left="122" w:right="4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use of germinated grain activates metabolism, resulting in the synthesis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secondary metabolites such as various enzymes, vitamins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phytochemicals, degradation to increase digestion of macronutrient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compounds such as proteins and carbohydrates, and is often used as a way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improve the nutritional value of grain. </w:t>
            </w:r>
          </w:p>
        </w:tc>
        <w:tc>
          <w:tcPr>
            <w:tcW w:type="dxa" w:w="249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30" w:val="left"/>
                <w:tab w:pos="1668" w:val="left"/>
                <w:tab w:pos="1888" w:val="left"/>
              </w:tabs>
              <w:autoSpaceDE w:val="0"/>
              <w:widowControl/>
              <w:spacing w:line="276" w:lineRule="exact" w:before="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Bread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baking,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multicomponent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enhancer, germination,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quality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grain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freshness. </w:t>
            </w:r>
          </w:p>
        </w:tc>
      </w:tr>
    </w:tbl>
    <w:p>
      <w:pPr>
        <w:autoSpaceDN w:val="0"/>
        <w:autoSpaceDE w:val="0"/>
        <w:widowControl/>
        <w:spacing w:line="314" w:lineRule="exact" w:before="228" w:after="0"/>
        <w:ind w:left="9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continuous pursuit of improving the quality and nutritional profile of bakery products has led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exploration of various bioactive additives (BAAs) derived from natural sources. Grains, as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fundamental component of human diets, offer a rich reservoir of bioactive compounds that can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harnessed to enhance the functional properties of bakery products. The development of methods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obtain such BAAs from grains is essential to advancing food science, particularly in the creation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value-added bakery goods that meet modern consumer demands for health and wellness. </w:t>
      </w:r>
    </w:p>
    <w:p>
      <w:pPr>
        <w:autoSpaceDN w:val="0"/>
        <w:autoSpaceDE w:val="0"/>
        <w:widowControl/>
        <w:spacing w:line="316" w:lineRule="exact" w:before="4" w:after="0"/>
        <w:ind w:left="98" w:right="50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Grains are not only a primary source of carbohydrates but also contain a wide range of bioactive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compounds, including dietary fibers, proteins, vitamins, minerals, and phytochemicals. These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components contribute to various health benefits, such as improved digestion, enhanced immune </w:t>
      </w:r>
    </w:p>
    <w:p>
      <w:pPr>
        <w:autoSpaceDN w:val="0"/>
        <w:tabs>
          <w:tab w:pos="7328" w:val="left"/>
        </w:tabs>
        <w:autoSpaceDE w:val="0"/>
        <w:widowControl/>
        <w:spacing w:line="194" w:lineRule="auto" w:before="616" w:after="0"/>
        <w:ind w:left="98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0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5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www.americanjournal.org </w:t>
      </w:r>
    </w:p>
    <w:p>
      <w:pPr>
        <w:sectPr>
          <w:pgSz w:w="11906" w:h="16838"/>
          <w:pgMar w:top="354" w:right="566" w:bottom="610" w:left="9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28 September- 2024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38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4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function, and reduced risk of chronic diseases. However, traditional bakery products often undergo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processing techniques that can diminish the bioavailability and functionality of these nutrients.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development of innovative methods to extract and concentrate these bioactive compounds from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grains can lead to the production of BAAs that significantly improve the quality of bakery products.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integrating these BAAs into bakery formulations, it is possible to enhance the nutritional value,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sensory properties, and shelf life of the final products. Moreover, these methods must be optimized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ensure that the bioactive compounds retain their efficacy during the baking process, which often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involves exposure to high temperatures. </w:t>
      </w:r>
    </w:p>
    <w:p>
      <w:pPr>
        <w:autoSpaceDN w:val="0"/>
        <w:autoSpaceDE w:val="0"/>
        <w:widowControl/>
        <w:spacing w:line="318" w:lineRule="exact" w:before="2" w:after="0"/>
        <w:ind w:left="58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research focuses on the development of such methods, with a particular emphasis on leveraging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regionally available grains. The goal is to create BAAs that not only improve the health benefits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bakery products but also align with sustainability practices by utilizing locally sourced ingredients.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Through this approach, the study aims to contribute to the broader field of functional food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development, offering insights into how grain-derived BAAs can be effectively used to produce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bakery products that cater to both nutritional needs and consumer preferences.This production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provides the basis for the use of grains that are harvested as a source of biologically valuable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components in the preparation of Functional Foods, which is one of the modern trends in food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technology. In this study, a mixture of sprouted grains containing grains of wheat, oats, barley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corn that were floured in equal amounts was used as an unconventional raw material[3]. </w:t>
      </w:r>
    </w:p>
    <w:p>
      <w:pPr>
        <w:autoSpaceDN w:val="0"/>
        <w:autoSpaceDE w:val="0"/>
        <w:widowControl/>
        <w:spacing w:line="318" w:lineRule="exact" w:before="2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 mixture of germinated grains contains vitamins (A, YE, B1, B2, B3, B5, B6, B9, n, choline, RR),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trace elements (boron, molybdenum, selenium, chromium, iron, vanadium, manganese, zinc, iodine,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copper, fluorine), minerals (potassium, calcium, silicon, magnesium, phosphorus), essential amino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acids (valine, isoleucine, leucine, lysine, methionine, threonine, tryptophan, phenylalanine)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enzymes (lipase, proteases, phosphatases, α - and β-amylases), have been found to be rich[4].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According to the results of test baking in our preliminary studies, it was recommended to add a mixture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grains, which were ground to a higher grade of flour weight in an amount of 15% to improve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nutritional and biological value of bread. It has been found that adding a mixture of flour-infused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grains to wheat flour reduces bread size and its porosity. The use of BAA in the production of bakery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products makes it possible to eliminate the negative impact of unconventional raw materials on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quality of dough and bread, as well as activate the technological process, prolong the novelty life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Bakery Products. </w:t>
      </w:r>
    </w:p>
    <w:p>
      <w:pPr>
        <w:autoSpaceDN w:val="0"/>
        <w:autoSpaceDE w:val="0"/>
        <w:widowControl/>
        <w:spacing w:line="318" w:lineRule="exact" w:before="2" w:after="0"/>
        <w:ind w:left="58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increase the quality of prolonging the freshness of products made with the addition of a mixture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whole grains, it is recommended to use multicomponent bread enhancers containing minerals (wheat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flour, soy flour, starch), oxidants, reducing agents, enzymes, emulsifiers, ground wheat flour, ground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wheat extract, improved starches, calcium sulfate, calcium carbonate, calcium propionate, calcium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phosphate, ammonium chloride, carbohydrates (sucrose, glucose), lecithin, soy flour, dry milk,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vegetable protein) and hydrogenated vegetable oils.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purpose of the study is to develop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multicomponent cooking improvement tool that increases the quality of the product and prolongs their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novelty life, by using a mixture of wheat, oats, corn and barley grain in wheat flour. To improve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multicomponent cooking, bfq-quality components belonging to food additives, generally recognized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safe, were used. </w:t>
      </w:r>
    </w:p>
    <w:p>
      <w:pPr>
        <w:autoSpaceDN w:val="0"/>
        <w:autoSpaceDE w:val="0"/>
        <w:widowControl/>
        <w:spacing w:line="316" w:lineRule="exact" w:before="6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Development of multicomponent baking enhancing additives to preserve the hissium properties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bread made from wheat flour and prolong its freshness with the addition of a flour mixture.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992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6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6" w:right="626" w:bottom="356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28 September- 2024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38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4" w:lineRule="exact" w:before="142" w:after="0"/>
        <w:ind w:left="5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ATERIALS AND METHODS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development of the improving composition of multicomponent baking was carried out using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effect of individual food additives on the quality of bread. The flour from the ground wheat was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assessed for its effect on the porosity of the bread, the change in fracture deformation, the 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upper layer and the accumulation of chissium and dextrins in the bread.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study used a sprouted mixture of wheat, oats, barley and corn grains produced in the Department </w:t>
      </w:r>
    </w:p>
    <w:p>
      <w:pPr>
        <w:autoSpaceDN w:val="0"/>
        <w:autoSpaceDE w:val="0"/>
        <w:widowControl/>
        <w:spacing w:line="266" w:lineRule="exact" w:before="38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of” food safety and functional products technology". </w:t>
      </w:r>
    </w:p>
    <w:p>
      <w:pPr>
        <w:autoSpaceDN w:val="0"/>
        <w:autoSpaceDE w:val="0"/>
        <w:widowControl/>
        <w:spacing w:line="318" w:lineRule="exact" w:before="14" w:after="0"/>
        <w:ind w:left="58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dough is made from high-grade wheat flour, the dough samples are prepared according to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recipe, in gram: high-grade wheat flour, 100gr; pressed yeast, 3GR; salt, 1.5 gr; ground flour mixture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wheat, oats, barley and corn grains, 15gr. The dough is kneaded in a two-speed mixer mixing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machine (Russia), dressing a uniform mixture with a moisture content of 44.0%. The fermentation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period was carried out in a 20-minute tin. Dough processing was carried out manually, the inspection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was carried out at a temperature of 40 ± 2 °C and at a relative humidity of 82 ± 2% until it was ready.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bread was baked in an artel oven (Uzbekistan) in a baking chamber moistened at a temperature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210-220 °C for 28 minutes. All experiments were carried out in at least three copies. </w:t>
      </w:r>
    </w:p>
    <w:p>
      <w:pPr>
        <w:autoSpaceDN w:val="0"/>
        <w:autoSpaceDE w:val="0"/>
        <w:widowControl/>
        <w:spacing w:line="314" w:lineRule="exact" w:before="336" w:after="0"/>
        <w:ind w:left="5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Results and their discussion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BAA is enriched in whey powder, wheat protein powder, tapinambur inulin, carboxymethylcellulose,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lactic acid. In bread-making technology, wheat flour, which was floured into the flour mixture, was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introduced in 15% quantities, and this mixture was found to be acceptable in 1.8% quantities as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additive that improved multicomponent baking displays. </w:t>
      </w:r>
    </w:p>
    <w:p>
      <w:pPr>
        <w:autoSpaceDN w:val="0"/>
        <w:autoSpaceDE w:val="0"/>
        <w:widowControl/>
        <w:spacing w:line="318" w:lineRule="exact" w:before="2" w:after="0"/>
        <w:ind w:left="58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addition of BAA provides the organoleptic properties and specific volume of bread enriched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mixture of flour, which is no different from control. The introduction of a multicomponent baking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enhancer increases the overall, plastic and elastic deformations of breadcrumbs, reducing fracture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markers and layer thickness under the crust. The deformation of breadcrumbs enriched with a mixture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ground grain and a developed multicomponent baking enhancer was twice that of control (wheat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bread) after 72 hours of storage. The addition of a multicomponent baking enhancer to bread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containing a 15% uncooked grain mixture to flour weight increased the accumulation of low molecular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weight dextrins by 77.6% compared to control. </w:t>
      </w:r>
    </w:p>
    <w:p>
      <w:pPr>
        <w:autoSpaceDN w:val="0"/>
        <w:autoSpaceDE w:val="0"/>
        <w:widowControl/>
        <w:spacing w:line="332" w:lineRule="exact" w:before="316" w:after="12"/>
        <w:ind w:left="21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1-Table. Multicomponent bread baking enhancer BFC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.00000000000003" w:type="dxa"/>
      </w:tblPr>
      <w:tblGrid>
        <w:gridCol w:w="5130"/>
        <w:gridCol w:w="5130"/>
      </w:tblGrid>
      <w:tr>
        <w:trPr>
          <w:trHeight w:hRule="exact" w:val="302"/>
        </w:trPr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Components </w:t>
            </w:r>
          </w:p>
        </w:tc>
        <w:tc>
          <w:tcPr>
            <w:tcW w:type="dxa" w:w="467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Quantity, kg per 100 kg </w:t>
            </w:r>
          </w:p>
        </w:tc>
      </w:tr>
      <w:tr>
        <w:trPr>
          <w:trHeight w:hRule="exact" w:val="300"/>
        </w:trPr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Serum enriched with Mn and Mg </w:t>
            </w:r>
          </w:p>
        </w:tc>
        <w:tc>
          <w:tcPr>
            <w:tcW w:type="dxa" w:w="467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20,8 </w:t>
            </w:r>
          </w:p>
        </w:tc>
      </w:tr>
      <w:tr>
        <w:trPr>
          <w:trHeight w:hRule="exact" w:val="302"/>
        </w:trPr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Tapinambur extract </w:t>
            </w:r>
          </w:p>
        </w:tc>
        <w:tc>
          <w:tcPr>
            <w:tcW w:type="dxa" w:w="467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18,4 </w:t>
            </w:r>
          </w:p>
        </w:tc>
      </w:tr>
      <w:tr>
        <w:trPr>
          <w:trHeight w:hRule="exact" w:val="300"/>
        </w:trPr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Dried wheat gluten </w:t>
            </w:r>
          </w:p>
        </w:tc>
        <w:tc>
          <w:tcPr>
            <w:tcW w:type="dxa" w:w="467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16,5 </w:t>
            </w:r>
          </w:p>
        </w:tc>
      </w:tr>
      <w:tr>
        <w:trPr>
          <w:trHeight w:hRule="exact" w:val="300"/>
        </w:trPr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Dried apple puree </w:t>
            </w:r>
          </w:p>
        </w:tc>
        <w:tc>
          <w:tcPr>
            <w:tcW w:type="dxa" w:w="467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20,3 </w:t>
            </w:r>
          </w:p>
        </w:tc>
      </w:tr>
      <w:tr>
        <w:trPr>
          <w:trHeight w:hRule="exact" w:val="302"/>
        </w:trPr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Thickening KMS </w:t>
            </w:r>
          </w:p>
        </w:tc>
        <w:tc>
          <w:tcPr>
            <w:tcW w:type="dxa" w:w="4672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10,2 </w:t>
            </w:r>
          </w:p>
        </w:tc>
      </w:tr>
      <w:tr>
        <w:trPr>
          <w:trHeight w:hRule="exact" w:val="300"/>
        </w:trPr>
        <w:tc>
          <w:tcPr>
            <w:tcW w:type="dxa" w:w="467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Wheat mortar </w:t>
            </w:r>
          </w:p>
        </w:tc>
        <w:tc>
          <w:tcPr>
            <w:tcW w:type="dxa" w:w="467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9,5 </w:t>
            </w:r>
          </w:p>
        </w:tc>
      </w:tr>
      <w:tr>
        <w:trPr>
          <w:trHeight w:hRule="exact" w:val="302"/>
        </w:trPr>
        <w:tc>
          <w:tcPr>
            <w:tcW w:type="dxa" w:w="467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Soy extract powder </w:t>
            </w:r>
          </w:p>
        </w:tc>
        <w:tc>
          <w:tcPr>
            <w:tcW w:type="dxa" w:w="467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0,5 </w:t>
            </w:r>
          </w:p>
        </w:tc>
      </w:tr>
      <w:tr>
        <w:trPr>
          <w:trHeight w:hRule="exact" w:val="300"/>
        </w:trPr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Kefer </w:t>
            </w:r>
          </w:p>
        </w:tc>
        <w:tc>
          <w:tcPr>
            <w:tcW w:type="dxa" w:w="467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3,8 </w:t>
            </w:r>
          </w:p>
        </w:tc>
      </w:tr>
      <w:tr>
        <w:trPr>
          <w:trHeight w:hRule="exact" w:val="304"/>
        </w:trPr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Total </w:t>
            </w:r>
          </w:p>
        </w:tc>
        <w:tc>
          <w:tcPr>
            <w:tcW w:type="dxa" w:w="467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100 </w:t>
            </w:r>
          </w:p>
        </w:tc>
      </w:tr>
    </w:tbl>
    <w:p>
      <w:pPr>
        <w:autoSpaceDN w:val="0"/>
        <w:tabs>
          <w:tab w:pos="7456" w:val="left"/>
        </w:tabs>
        <w:autoSpaceDE w:val="0"/>
        <w:widowControl/>
        <w:spacing w:line="197" w:lineRule="auto" w:before="143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7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6" w:right="626" w:bottom="356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28 September- 2024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38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4" w:lineRule="exact" w:before="142" w:after="0"/>
        <w:ind w:left="5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CONCLUSION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research focused on the development and application of a multicomponent baking enhancer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(BAA) demonstrated significant improvements in the quality and shelf life of wheat bread enriched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a mixture of germinated grains. The incorporation of this enhancer into bread-making processes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yielded multiple benefits, addressing critical factors such as texture, volume, moisture retention,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overall sensory attributes of the final product. </w:t>
      </w:r>
    </w:p>
    <w:p>
      <w:pPr>
        <w:autoSpaceDN w:val="0"/>
        <w:autoSpaceDE w:val="0"/>
        <w:widowControl/>
        <w:spacing w:line="318" w:lineRule="exact" w:before="4" w:after="0"/>
        <w:ind w:left="58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One of the primary findings of this study was the positive impact of the multicomponent baking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enhancer on the structural properties of bread. The introduction of a 15% germinated grain mixture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into the wheat flour, complemented by the BAA, resulted in a marked increase in the plastic and elastic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deformation of breadcrumbs. This improvement is crucial, as it directly correlates with the bread’s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ability to maintain its softness and resilience over time, reducing the brittleness often associated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extended storage. Notably, the deformation of breadcrumbs enriched with the BAA was twice that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control wheat bread after 72 hours of storage, highlighting the enhancer's effectiveness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preserving bread quality. </w:t>
      </w:r>
    </w:p>
    <w:p>
      <w:pPr>
        <w:autoSpaceDN w:val="0"/>
        <w:autoSpaceDE w:val="0"/>
        <w:widowControl/>
        <w:spacing w:line="318" w:lineRule="exact" w:before="2" w:after="0"/>
        <w:ind w:left="58" w:right="44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addition of the BAA also had a significant influence on the organoleptic properties of the bread.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Despite the inclusion of a complex mixture of ingredients, the bread's specific volume and sensory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characteristics remained consistent with that of the control, indicating that the enhancer did not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adversely affect the bread's traditional qualities. This finding is particularly important for consumer </w:t>
      </w:r>
    </w:p>
    <w:p>
      <w:pPr>
        <w:autoSpaceDN w:val="0"/>
        <w:autoSpaceDE w:val="0"/>
        <w:widowControl/>
        <w:spacing w:line="318" w:lineRule="exact" w:before="0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acceptance, as it ensures that the nutritional enhancements do not come at the expense of the bread’s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familiar taste and texture. </w:t>
      </w:r>
    </w:p>
    <w:p>
      <w:pPr>
        <w:autoSpaceDN w:val="0"/>
        <w:autoSpaceDE w:val="0"/>
        <w:widowControl/>
        <w:spacing w:line="318" w:lineRule="exact" w:before="2" w:after="0"/>
        <w:ind w:left="58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application of such enhancers in the bakery industry has the potential to meet consumer demands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higher-quality, more nutritious, and longer-lasting bread products, ultimately leading to broader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adoption in commercial baking practices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use of a developed multicomponent baking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improvement tool has a positive effect on the quality of wheat bread enriched with a mixture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germinated grains and prolongs the freshness of bread to 72 hours without packaging. </w:t>
      </w:r>
    </w:p>
    <w:p>
      <w:pPr>
        <w:autoSpaceDN w:val="0"/>
        <w:autoSpaceDE w:val="0"/>
        <w:widowControl/>
        <w:spacing w:line="312" w:lineRule="exact" w:before="336" w:after="0"/>
        <w:ind w:left="58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YW Zeng, «Вклад природы в рацион сельскохозяйственных культур для здоровья человека»,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Science , vol. 359, нет. 6373, статья 270eПисьмо, 2018 г.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YW Zeng, JZ Yang, XM Yang и др., «Вклад природы в рацион сельскохозяйственных культур </w:t>
      </w:r>
    </w:p>
    <w:p>
      <w:pPr>
        <w:autoSpaceDN w:val="0"/>
        <w:autoSpaceDE w:val="0"/>
        <w:widowControl/>
        <w:spacing w:line="318" w:lineRule="exact" w:before="0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экстремальных условиях окружающей среды для человеческого познания», Science , vol. 363,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нет. 6426, статья 538eПисьмо, 2019 г.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А. Кучиньска, В. Кардения, П. Огродович, М. Кемпа, М.Т. Родригес-Эстрада и К. </w:t>
      </w:r>
    </w:p>
    <w:p>
      <w:pPr>
        <w:autoSpaceDN w:val="0"/>
        <w:autoSpaceDE w:val="0"/>
        <w:widowControl/>
        <w:spacing w:line="266" w:lineRule="exact" w:before="34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Миколайчак, «Влияние множественных абиотических стрессов на профиль липидов и </w:t>
      </w:r>
    </w:p>
    <w:p>
      <w:pPr>
        <w:autoSpaceDN w:val="0"/>
        <w:autoSpaceDE w:val="0"/>
        <w:widowControl/>
        <w:spacing w:line="324" w:lineRule="exact" w:before="0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стеролов в листьях ячменя ( Hordeum vulgare L.)», Физиология растений и биохимия , т. 1, с.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141, стр. 215–224, 2019.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GF Mecina, AL Dokkedal, LL Saldanha et al., «Реакция Microcystis aeruginosa BCCUSP 232 на </w:t>
      </w:r>
    </w:p>
    <w:p>
      <w:pPr>
        <w:autoSpaceDN w:val="0"/>
        <w:autoSpaceDE w:val="0"/>
        <w:widowControl/>
        <w:spacing w:line="318" w:lineRule="exact" w:before="0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экстракт и фракции деградации соломы ячменя ( Hordeum vulgare L.)», Science of the Total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Environment , vol. 599-600, стр. 1837–1847, 2017.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Xiao X., Chen YX, Liang XQ, Lou LP и Tang XJ, «Влияние тибетского голозерного ячменя на </w:t>
      </w:r>
    </w:p>
    <w:p>
      <w:pPr>
        <w:autoSpaceDN w:val="0"/>
        <w:autoSpaceDE w:val="0"/>
        <w:widowControl/>
        <w:spacing w:line="266" w:lineRule="exact" w:before="38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формирующую цветение цианобактерию ( Microcystis aeruginosa ), измеренное по различным </w:t>
      </w:r>
    </w:p>
    <w:p>
      <w:pPr>
        <w:autoSpaceDN w:val="0"/>
        <w:autoSpaceDE w:val="0"/>
        <w:widowControl/>
        <w:spacing w:line="324" w:lineRule="exact" w:before="0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физиологическим и морфологическим параметрам», Chemosphere , vol. 81, нет. 9, стр. 1118–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1123, 2010.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67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8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6" w:right="626" w:bottom="356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28 September- 2024</w:t>
      </w:r>
    </w:p>
    <w:p>
      <w:pPr>
        <w:autoSpaceDN w:val="0"/>
        <w:autoSpaceDE w:val="0"/>
        <w:widowControl/>
        <w:spacing w:line="240" w:lineRule="auto" w:before="5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38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8" w:lineRule="exact" w:before="124" w:after="0"/>
        <w:ind w:left="58" w:right="45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Y. Jin, P. Li и F. Wang, « β -глюканы как потенциальные иммуноадъюванты: обзор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адъювантности, отношения структура-активность и свойств распознавания рецепторов»,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Vaccine , vol. 36, нет. 35, стр. 5235–5244, 2018. </w:t>
      </w:r>
    </w:p>
    <w:p>
      <w:pPr>
        <w:autoSpaceDN w:val="0"/>
        <w:autoSpaceDE w:val="0"/>
        <w:widowControl/>
        <w:spacing w:line="320" w:lineRule="exact" w:before="0" w:after="0"/>
        <w:ind w:left="5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F. Dai, X. Wang, XQ Zhang et al., «Сборка и анализ эталонного генома qingke демонстрируют </w:t>
      </w:r>
    </w:p>
    <w:p>
      <w:pPr>
        <w:autoSpaceDN w:val="0"/>
        <w:autoSpaceDE w:val="0"/>
        <w:widowControl/>
        <w:spacing w:line="318" w:lineRule="exact" w:before="0" w:after="0"/>
        <w:ind w:left="5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его тесную генетическую связь с современным культивируемым ячменем», журнал Plant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Biotechnology Journal , vol. 16, нет. 3, стр. 760–770, 2018. </w:t>
      </w:r>
    </w:p>
    <w:p>
      <w:pPr>
        <w:autoSpaceDN w:val="0"/>
        <w:autoSpaceDE w:val="0"/>
        <w:widowControl/>
        <w:spacing w:line="318" w:lineRule="exact" w:before="0" w:after="0"/>
        <w:ind w:left="58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 D.Mirkhodjaeva, E.Sanaev, G.Saydullaeva “The main characteristics of grained grains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principles of using them in bakery confectionery” page 923-927.   (International scientific journal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volume 2) 12.12.2023 </w:t>
      </w:r>
    </w:p>
    <w:p>
      <w:pPr>
        <w:autoSpaceDN w:val="0"/>
        <w:autoSpaceDE w:val="0"/>
        <w:widowControl/>
        <w:spacing w:line="318" w:lineRule="exact" w:before="0" w:after="0"/>
        <w:ind w:left="58" w:right="44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9. Mirxodjayeva D.D., Sanayev E.Sh., Saydullayeva G.O. “Proflaktik xususiyatga ega xomashyolar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asosidagi funksional mahsulotlarning axamiyati” bet 251-253. № 6 (12) 2023 O‘zbekiston agrar fani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xabarnomasi.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0514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9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sectPr w:rsidR="00FC693F" w:rsidRPr="0006063C" w:rsidSect="00034616">
      <w:pgSz w:w="11906" w:h="16838"/>
      <w:pgMar w:top="356" w:right="626" w:bottom="356" w:left="10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