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17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186170" cy="1089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089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08" w:val="left"/>
          <w:tab w:pos="6660" w:val="left"/>
        </w:tabs>
        <w:autoSpaceDE w:val="0"/>
        <w:widowControl/>
        <w:spacing w:line="245" w:lineRule="auto" w:before="4" w:after="0"/>
        <w:ind w:left="178" w:right="864" w:firstLine="0"/>
        <w:jc w:val="left"/>
      </w:pPr>
      <w:r>
        <w:tab/>
      </w: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/>
          <w:i w:val="0"/>
          <w:color w:val="000000"/>
          <w:sz w:val="24"/>
        </w:rPr>
        <w:t>ISSN (E):</w:t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2832-9791| </w:t>
      </w:r>
      <w:r>
        <w:tab/>
      </w:r>
      <w:r>
        <w:rPr>
          <w:rFonts w:ascii="Cambria" w:hAnsi="Cambria" w:eastAsia="Cambria"/>
          <w:b w:val="0"/>
          <w:i w:val="0"/>
          <w:color w:val="000000"/>
          <w:sz w:val="24"/>
        </w:rPr>
        <w:t xml:space="preserve"> Volume 15, | August, 2023 </w:t>
      </w:r>
    </w:p>
    <w:p>
      <w:pPr>
        <w:autoSpaceDN w:val="0"/>
        <w:autoSpaceDE w:val="0"/>
        <w:widowControl/>
        <w:spacing w:line="240" w:lineRule="auto" w:before="60" w:after="2708"/>
        <w:ind w:left="1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15100" cy="25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4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219"/>
        <w:gridCol w:w="5219"/>
      </w:tblGrid>
      <w:tr>
        <w:trPr>
          <w:trHeight w:hRule="exact" w:val="326"/>
        </w:trPr>
        <w:tc>
          <w:tcPr>
            <w:tcW w:type="dxa" w:w="75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122" w:right="0" w:firstLine="0"/>
              <w:jc w:val="left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A B S T R A C T</w:t>
            </w:r>
          </w:p>
        </w:tc>
        <w:tc>
          <w:tcPr>
            <w:tcW w:type="dxa" w:w="250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>K E Y W O R D S</w:t>
            </w:r>
          </w:p>
        </w:tc>
      </w:tr>
      <w:tr>
        <w:trPr>
          <w:trHeight w:hRule="exact" w:val="2754"/>
        </w:trPr>
        <w:tc>
          <w:tcPr>
            <w:tcW w:type="dxa" w:w="753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56" w:right="44" w:firstLine="0"/>
              <w:jc w:val="both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this research work, students studying in the field of information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technology use tasks aimed at the development of personality, reflecting the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structure and content of the skills of analytical analysis of the appropriate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formation of analytical skills, directing independent work of students mainly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research activities in the process of studying bio informational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technologies, relying on the model of implemented projects using bio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informational technologies, the focus of the educator and students was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defined and justified such conditions as the implementation of the interaction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of the person standing. </w:t>
            </w:r>
          </w:p>
        </w:tc>
        <w:tc>
          <w:tcPr>
            <w:tcW w:type="dxa" w:w="250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86" w:val="left"/>
                <w:tab w:pos="1284" w:val="left"/>
                <w:tab w:pos="1364" w:val="left"/>
                <w:tab w:pos="1384" w:val="left"/>
              </w:tabs>
              <w:autoSpaceDE w:val="0"/>
              <w:widowControl/>
              <w:spacing w:line="271" w:lineRule="auto" w:before="14" w:after="0"/>
              <w:ind w:left="10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bio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informational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technologies, analytical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analysis,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>formation-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formation, educational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material, </w:t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educational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goals,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issue-task,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cognitive issue task,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etc. </w:t>
            </w:r>
          </w:p>
        </w:tc>
      </w:tr>
    </w:tbl>
    <w:p>
      <w:pPr>
        <w:autoSpaceDN w:val="0"/>
        <w:autoSpaceDE w:val="0"/>
        <w:widowControl/>
        <w:spacing w:line="262" w:lineRule="auto" w:before="324" w:after="0"/>
        <w:ind w:left="178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When learning analytical skills in students, it is advisable to use the concept of" formation-formation".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This understanding is of urgent importance for our research work. </w:t>
      </w:r>
    </w:p>
    <w:p>
      <w:pPr>
        <w:autoSpaceDN w:val="0"/>
        <w:autoSpaceDE w:val="0"/>
        <w:widowControl/>
        <w:spacing w:line="262" w:lineRule="auto" w:before="52" w:after="0"/>
        <w:ind w:left="178" w:right="50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Formation-formation is understood as the process of a person's occurrence, decision – making under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influence of all-environmental, economic, social, ideological, psychological factors, without any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exception, as opposed to the social one. </w:t>
      </w:r>
    </w:p>
    <w:p>
      <w:pPr>
        <w:autoSpaceDN w:val="0"/>
        <w:autoSpaceDE w:val="0"/>
        <w:widowControl/>
        <w:spacing w:line="271" w:lineRule="auto" w:before="52" w:after="0"/>
        <w:ind w:left="178" w:right="50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educator, oriented towards the personality model of pedagogical interaction, should actively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support the independent educational and educational processes of students, strive to activate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learner himself. The use of bioinformational technologies for personality-developing education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implies not just the concentration of knowledge and skills, but the mechanism of self-organization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self-realization of the future specialist, the formation of a flexible and constant, the emergence of 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analytical skills and abilities.  When applying such technologies, the educational environment creates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much more free conditions. These conditions provide the student with the opportunity to choose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individual development trajectory, not having the same problem of normative construction of his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activities. The educator forms, builds the content of Education, relying on the identified interests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subjective experience of the educator. It must be perceived by the learner as a person of importance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 himself, as "missed" content through his personal subjective experience. </w:t>
      </w:r>
    </w:p>
    <w:p>
      <w:pPr>
        <w:autoSpaceDN w:val="0"/>
        <w:autoSpaceDE w:val="0"/>
        <w:widowControl/>
        <w:spacing w:line="254" w:lineRule="auto" w:before="50" w:after="0"/>
        <w:ind w:left="178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direction of the pedagogical process to the individual, the search and development of abilities that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nature places on each individual, the construction of a pedagogical system aimed at the individual are </w:t>
      </w:r>
    </w:p>
    <w:p>
      <w:pPr>
        <w:autoSpaceDN w:val="0"/>
        <w:tabs>
          <w:tab w:pos="7408" w:val="left"/>
        </w:tabs>
        <w:autoSpaceDE w:val="0"/>
        <w:widowControl/>
        <w:spacing w:line="194" w:lineRule="auto" w:before="144" w:after="0"/>
        <w:ind w:left="178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0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0"/>
        </w:rPr>
        <w:t xml:space="preserve">30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 xml:space="preserve">www.americanjournal.org </w:t>
      </w:r>
    </w:p>
    <w:p>
      <w:pPr>
        <w:sectPr>
          <w:pgSz w:w="11906" w:h="16838"/>
          <w:pgMar w:top="352" w:right="566" w:bottom="608" w:left="9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auto" w:before="158" w:after="0"/>
        <w:ind w:left="60" w:right="44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important requirements for today's Education, strictly dictating the need to change the traditional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approaches to education. The assistance of modern pedagogical technologies to identify and formulate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their competencies in connection with the competence and interests of future specialists as individuals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gives preference to the intended educational methods. </w:t>
      </w:r>
    </w:p>
    <w:p>
      <w:pPr>
        <w:autoSpaceDN w:val="0"/>
        <w:autoSpaceDE w:val="0"/>
        <w:widowControl/>
        <w:spacing w:line="274" w:lineRule="auto" w:before="52" w:after="0"/>
        <w:ind w:left="60" w:right="44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style of projects is considered one such style. It allows you to ensure the systematic integration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scientific knowledge and practical actions, develop the interest of the learner in the process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obtaining independent knowledge and his reflexive positions in this process, build his own activities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based on concrete practical requirements, form skills for establishing, acquire the experience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independent creative activity and conscious choice of ways of self-realization. Teaching on the basis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 style of projects increases motivation for studying, provides the basis for the formation of skills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for cooperation and Inter-chassis communication, allows you to successfully adapt to the significantly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changing conditions of human life in modern society. Students acquire the skills of transferring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knowledge to another context, to a modified situation, trying not to simply memorize the facts, but 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search for information, to carry it out analytically , tasks independently. As a result of training, it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happens not only to master new knowledge, skills and abilities, but also to form analytical skills. These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guarantee that the graduate's mobile and non-slip (flexible), future professional activities will be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successful. </w:t>
      </w:r>
    </w:p>
    <w:p>
      <w:pPr>
        <w:autoSpaceDN w:val="0"/>
        <w:autoSpaceDE w:val="0"/>
        <w:widowControl/>
        <w:spacing w:line="269" w:lineRule="auto" w:before="52" w:after="0"/>
        <w:ind w:left="60" w:right="44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Thus, the analysis of the requirements of state educational standards for the results of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training of graduates, the specificity of the professional activities of software creators provides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opportunity to clarify the requirements for the analytical activities of a specialist in the field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bioinformational technologies. This activity is based on the formation of analytical skills. Based 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results of the conducted analysis, a model for the formation of analytical skills of students was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developed. This model provides an opportunity to reveal the content of the components of this process: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targeted, theoretical-methodological, consequential-tolerating components (figure 1.2). </w:t>
      </w:r>
    </w:p>
    <w:p>
      <w:pPr>
        <w:autoSpaceDN w:val="0"/>
        <w:autoSpaceDE w:val="0"/>
        <w:widowControl/>
        <w:spacing w:line="264" w:lineRule="auto" w:before="54" w:after="0"/>
        <w:ind w:left="60" w:right="44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target component involves the goals and objectives of the formation of analytical skills. And these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goals and objectives are determined by the requirements of state educational standards for the results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professional education of graduates and the specificity of the future professional activity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graduates. </w:t>
      </w:r>
    </w:p>
    <w:p>
      <w:pPr>
        <w:autoSpaceDN w:val="0"/>
        <w:autoSpaceDE w:val="0"/>
        <w:widowControl/>
        <w:spacing w:line="264" w:lineRule="auto" w:before="54" w:after="0"/>
        <w:ind w:left="60" w:right="44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theoretical-methodological component embodies the foundations of the formation of analytical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skills based on such principles as professional orientation, reflexivity, independence and activity,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provision of the choice of individual educational trajectory, cooperation within the framework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approaches to personality, competency, technology and activity. </w:t>
      </w:r>
    </w:p>
    <w:p>
      <w:pPr>
        <w:autoSpaceDN w:val="0"/>
        <w:autoSpaceDE w:val="0"/>
        <w:widowControl/>
        <w:spacing w:line="269" w:lineRule="auto" w:before="52" w:after="0"/>
        <w:ind w:left="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content component describes the organization and implementation of the educational process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aimed at the formation of analytical skills and promotes the restoration of the content of future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activities in the process of mastering the block of professionally oriented disciplines.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methodological component of the model reflects the comprehensively effective forms, methods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means of organizing education, pedagogical conditions in order to form analytical skills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 of training IT specialists.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772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31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5410200</wp:posOffset>
            </wp:positionH>
            <wp:positionV relativeFrom="page">
              <wp:posOffset>3098800</wp:posOffset>
            </wp:positionV>
            <wp:extent cx="574039" cy="3437926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039" cy="343792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1397000</wp:posOffset>
            </wp:positionV>
            <wp:extent cx="5588000" cy="75819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7581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5" w:lineRule="auto" w:before="0" w:after="0"/>
        <w:ind w:left="1008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17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0" w:lineRule="auto" w:before="844" w:after="0"/>
        <w:ind w:left="2420" w:right="0" w:firstLine="0"/>
        <w:jc w:val="left"/>
      </w:pPr>
      <w:r>
        <w:rPr>
          <w:w w:val="98.34335446357727"/>
          <w:rFonts w:ascii="Times New Roman" w:hAnsi="Times New Roman" w:eastAsia="Times New Roman"/>
          <w:b/>
          <w:i w:val="0"/>
          <w:color w:val="000000"/>
          <w:sz w:val="16"/>
        </w:rPr>
        <w:t>TARGET COMPONENT</w:t>
      </w:r>
    </w:p>
    <w:p>
      <w:pPr>
        <w:autoSpaceDN w:val="0"/>
        <w:autoSpaceDE w:val="0"/>
        <w:widowControl/>
        <w:spacing w:line="245" w:lineRule="auto" w:before="220" w:after="0"/>
        <w:ind w:left="660" w:right="7344" w:firstLine="0"/>
        <w:jc w:val="left"/>
      </w:pPr>
      <w:r>
        <w:rPr>
          <w:w w:val="97.8540817896525"/>
          <w:rFonts w:ascii="Times New Roman" w:hAnsi="Times New Roman" w:eastAsia="Times New Roman"/>
          <w:b w:val="0"/>
          <w:i w:val="0"/>
          <w:color w:val="000000"/>
          <w:sz w:val="12"/>
        </w:rPr>
        <w:t xml:space="preserve">- </w:t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Social order for specialist training </w:t>
      </w:r>
      <w:r>
        <w:br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Employer requirements </w:t>
      </w:r>
      <w:r>
        <w:br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State educational qualities requirements </w:t>
      </w:r>
      <w:r>
        <w:br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Types and tasks of professional activities </w:t>
      </w:r>
      <w:r>
        <w:br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>- Professional standards</w:t>
      </w:r>
    </w:p>
    <w:p>
      <w:pPr>
        <w:autoSpaceDN w:val="0"/>
        <w:autoSpaceDE w:val="0"/>
        <w:widowControl/>
        <w:spacing w:line="245" w:lineRule="auto" w:before="244" w:after="0"/>
        <w:ind w:left="672" w:right="4176" w:firstLine="0"/>
        <w:jc w:val="left"/>
      </w:pPr>
      <w:r>
        <w:rPr>
          <w:w w:val="98.34335446357727"/>
          <w:rFonts w:ascii="Times New Roman" w:hAnsi="Times New Roman" w:eastAsia="Times New Roman"/>
          <w:b/>
          <w:i w:val="0"/>
          <w:color w:val="000000"/>
          <w:sz w:val="16"/>
        </w:rPr>
        <w:t xml:space="preserve">Purpose: </w:t>
      </w:r>
      <w:r>
        <w:rPr>
          <w:w w:val="98.34335446357727"/>
          <w:rFonts w:ascii="Times New Roman" w:hAnsi="Times New Roman" w:eastAsia="Times New Roman"/>
          <w:b w:val="0"/>
          <w:i w:val="0"/>
          <w:color w:val="000000"/>
          <w:sz w:val="16"/>
        </w:rPr>
        <w:t xml:space="preserve">Formation of analysis skills in students-specialists of the field of information </w:t>
      </w:r>
      <w:r>
        <w:rPr>
          <w:w w:val="98.34335446357727"/>
          <w:rFonts w:ascii="Times New Roman" w:hAnsi="Times New Roman" w:eastAsia="Times New Roman"/>
          <w:b w:val="0"/>
          <w:i w:val="0"/>
          <w:color w:val="000000"/>
          <w:sz w:val="16"/>
        </w:rPr>
        <w:t xml:space="preserve">technology </w:t>
      </w:r>
    </w:p>
    <w:p>
      <w:pPr>
        <w:autoSpaceDN w:val="0"/>
        <w:tabs>
          <w:tab w:pos="1376" w:val="left"/>
          <w:tab w:pos="3272" w:val="left"/>
        </w:tabs>
        <w:autoSpaceDE w:val="0"/>
        <w:widowControl/>
        <w:spacing w:line="245" w:lineRule="auto" w:before="32" w:after="0"/>
        <w:ind w:left="1022" w:right="4176" w:firstLine="0"/>
        <w:jc w:val="left"/>
      </w:pPr>
      <w:r>
        <w:tab/>
      </w:r>
      <w:r>
        <w:tab/>
      </w:r>
      <w:r>
        <w:rPr>
          <w:w w:val="98.34335446357727"/>
          <w:rFonts w:ascii="Times New Roman" w:hAnsi="Times New Roman" w:eastAsia="Times New Roman"/>
          <w:b/>
          <w:i w:val="0"/>
          <w:color w:val="000000"/>
          <w:sz w:val="16"/>
        </w:rPr>
        <w:t>ASSIGNMENTS:</w:t>
      </w:r>
      <w:r>
        <w:br/>
      </w:r>
      <w:r>
        <w:rPr>
          <w:w w:val="97.29491642543248"/>
          <w:rFonts w:ascii="Calibri" w:hAnsi="Calibri" w:eastAsia="Calibri"/>
          <w:b w:val="0"/>
          <w:i w:val="0"/>
          <w:color w:val="000000"/>
          <w:sz w:val="14"/>
        </w:rPr>
        <w:t>-</w:t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To acquaint students with the essence and structure of the analytical skills necessary for their </w:t>
      </w:r>
      <w:r>
        <w:br/>
      </w:r>
      <w:r>
        <w:tab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professional activities: </w:t>
      </w:r>
      <w:r>
        <w:br/>
      </w:r>
      <w:r>
        <w:rPr>
          <w:w w:val="97.29491642543248"/>
          <w:rFonts w:ascii="Calibri" w:hAnsi="Calibri" w:eastAsia="Calibri"/>
          <w:b w:val="0"/>
          <w:i w:val="0"/>
          <w:color w:val="000000"/>
          <w:sz w:val="14"/>
        </w:rPr>
        <w:t>-</w:t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Formation of motivation for the acquisition of analytical skills as a professionally significant </w:t>
      </w:r>
      <w:r>
        <w:br/>
      </w:r>
      <w:r>
        <w:tab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skill in students; </w:t>
      </w:r>
      <w:r>
        <w:br/>
      </w:r>
      <w:r>
        <w:rPr>
          <w:w w:val="97.29491642543248"/>
          <w:rFonts w:ascii="Calibri" w:hAnsi="Calibri" w:eastAsia="Calibri"/>
          <w:b w:val="0"/>
          <w:i w:val="0"/>
          <w:color w:val="000000"/>
          <w:sz w:val="14"/>
        </w:rPr>
        <w:t>-</w:t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Formation of analysis skills; </w:t>
      </w:r>
      <w:r>
        <w:br/>
      </w:r>
      <w:r>
        <w:rPr>
          <w:w w:val="97.8540817896525"/>
          <w:rFonts w:ascii="Calibri" w:hAnsi="Calibri" w:eastAsia="Calibri"/>
          <w:b w:val="0"/>
          <w:i w:val="0"/>
          <w:color w:val="000000"/>
          <w:sz w:val="12"/>
        </w:rPr>
        <w:t>-</w:t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>Exercise control.</w:t>
      </w:r>
    </w:p>
    <w:p>
      <w:pPr>
        <w:autoSpaceDN w:val="0"/>
        <w:autoSpaceDE w:val="0"/>
        <w:widowControl/>
        <w:spacing w:line="230" w:lineRule="auto" w:before="318" w:after="154"/>
        <w:ind w:left="1368" w:right="0" w:firstLine="0"/>
        <w:jc w:val="left"/>
      </w:pPr>
      <w:r>
        <w:rPr>
          <w:w w:val="98.34335446357727"/>
          <w:rFonts w:ascii="Times New Roman" w:hAnsi="Times New Roman" w:eastAsia="Times New Roman"/>
          <w:b/>
          <w:i w:val="0"/>
          <w:color w:val="000000"/>
          <w:sz w:val="16"/>
        </w:rPr>
        <w:t>THEORETICAL-METHODOLOGICAL COMPONENT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.99999999999994" w:type="dxa"/>
      </w:tblPr>
      <w:tblGrid>
        <w:gridCol w:w="5218"/>
        <w:gridCol w:w="5218"/>
      </w:tblGrid>
      <w:tr>
        <w:trPr>
          <w:trHeight w:hRule="exact" w:val="898"/>
        </w:trPr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66" w:right="288" w:firstLine="0"/>
              <w:jc w:val="left"/>
            </w:pPr>
            <w:r>
              <w:rPr>
                <w:w w:val="97.85409503512912"/>
                <w:rFonts w:ascii="Times New Roman" w:hAnsi="Times New Roman" w:eastAsia="Times New Roman"/>
                <w:b/>
                <w:i w:val="0"/>
                <w:color w:val="000000"/>
                <w:sz w:val="18"/>
              </w:rPr>
              <w:t xml:space="preserve">Approaches: </w:t>
            </w:r>
            <w:r>
              <w:br/>
            </w:r>
            <w:r>
              <w:rPr>
                <w:w w:val="102.59227752685547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 xml:space="preserve">person-oriented; component; technological; </w:t>
            </w:r>
            <w:r>
              <w:rPr>
                <w:w w:val="102.59227752685547"/>
                <w:rFonts w:ascii="Times New Roman" w:hAnsi="Times New Roman" w:eastAsia="Times New Roman"/>
                <w:b w:val="0"/>
                <w:i w:val="0"/>
                <w:color w:val="000000"/>
                <w:sz w:val="19"/>
              </w:rPr>
              <w:t>activity-related;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408" w:right="1872" w:firstLine="0"/>
              <w:jc w:val="left"/>
            </w:pPr>
            <w:r>
              <w:rPr>
                <w:w w:val="97.29491642543248"/>
                <w:rFonts w:ascii="Times New Roman" w:hAnsi="Times New Roman" w:eastAsia="Times New Roman"/>
                <w:b/>
                <w:i w:val="0"/>
                <w:color w:val="000000"/>
                <w:sz w:val="14"/>
              </w:rPr>
              <w:t xml:space="preserve">Principles: </w:t>
            </w:r>
            <w:r>
              <w:br/>
            </w:r>
            <w:r>
              <w:rPr>
                <w:w w:val="97.29491642543248"/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Professional orientation; reflexivity; </w:t>
            </w:r>
            <w:r>
              <w:br/>
            </w:r>
            <w:r>
              <w:rPr>
                <w:w w:val="97.29491642543248"/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independence and activism; ensuring </w:t>
            </w:r>
            <w:r>
              <w:br/>
            </w:r>
            <w:r>
              <w:rPr>
                <w:w w:val="97.29491642543248"/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the ability to choose an individual </w:t>
            </w:r>
            <w:r>
              <w:br/>
            </w:r>
            <w:r>
              <w:rPr>
                <w:w w:val="97.29491642543248"/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>educational trajectory; cooperation.</w:t>
            </w:r>
          </w:p>
        </w:tc>
      </w:tr>
    </w:tbl>
    <w:p>
      <w:pPr>
        <w:autoSpaceDN w:val="0"/>
        <w:autoSpaceDE w:val="0"/>
        <w:widowControl/>
        <w:spacing w:line="230" w:lineRule="auto" w:before="190" w:after="0"/>
        <w:ind w:left="2284" w:right="0" w:firstLine="0"/>
        <w:jc w:val="left"/>
      </w:pPr>
      <w:r>
        <w:rPr>
          <w:w w:val="98.34335446357727"/>
          <w:rFonts w:ascii="Times New Roman" w:hAnsi="Times New Roman" w:eastAsia="Times New Roman"/>
          <w:b/>
          <w:i w:val="0"/>
          <w:color w:val="000000"/>
          <w:sz w:val="16"/>
        </w:rPr>
        <w:t>CONTENT COMPONENT</w:t>
      </w:r>
    </w:p>
    <w:p>
      <w:pPr>
        <w:autoSpaceDN w:val="0"/>
        <w:autoSpaceDE w:val="0"/>
        <w:widowControl/>
        <w:spacing w:line="245" w:lineRule="auto" w:before="96" w:after="0"/>
        <w:ind w:left="52" w:right="4176" w:firstLine="0"/>
        <w:jc w:val="left"/>
      </w:pPr>
      <w:r>
        <w:rPr>
          <w:w w:val="97.85409503512912"/>
          <w:rFonts w:ascii="Times New Roman" w:hAnsi="Times New Roman" w:eastAsia="Times New Roman"/>
          <w:b/>
          <w:i w:val="0"/>
          <w:color w:val="000000"/>
          <w:sz w:val="18"/>
        </w:rPr>
        <w:t>Content:</w:t>
      </w:r>
      <w:r>
        <w:rPr>
          <w:w w:val="97.85409503512912"/>
          <w:rFonts w:ascii="Times New Roman" w:hAnsi="Times New Roman" w:eastAsia="Times New Roman"/>
          <w:b w:val="0"/>
          <w:i w:val="0"/>
          <w:color w:val="000000"/>
          <w:sz w:val="18"/>
        </w:rPr>
        <w:t xml:space="preserve">  Organization and implementation of reading-cognitive activity aimed at the </w:t>
      </w:r>
      <w:r>
        <w:rPr>
          <w:w w:val="97.85409503512912"/>
          <w:rFonts w:ascii="Times New Roman" w:hAnsi="Times New Roman" w:eastAsia="Times New Roman"/>
          <w:b w:val="0"/>
          <w:i w:val="0"/>
          <w:color w:val="000000"/>
          <w:sz w:val="18"/>
        </w:rPr>
        <w:t xml:space="preserve">formation of analytical skills based on a block of disciplines oriented towards the </w:t>
      </w:r>
      <w:r>
        <w:rPr>
          <w:w w:val="97.85409503512912"/>
          <w:rFonts w:ascii="Times New Roman" w:hAnsi="Times New Roman" w:eastAsia="Times New Roman"/>
          <w:b w:val="0"/>
          <w:i w:val="0"/>
          <w:color w:val="000000"/>
          <w:sz w:val="18"/>
        </w:rPr>
        <w:t xml:space="preserve">profession, such as” Informatics“,” programming“,” structures and algorithms for </w:t>
      </w:r>
      <w:r>
        <w:rPr>
          <w:w w:val="97.85409503512912"/>
          <w:rFonts w:ascii="Times New Roman" w:hAnsi="Times New Roman" w:eastAsia="Times New Roman"/>
          <w:b w:val="0"/>
          <w:i w:val="0"/>
          <w:color w:val="000000"/>
          <w:sz w:val="18"/>
        </w:rPr>
        <w:t>processing data“,” databases“,” data analysis“, “ human-machine interaction".</w:t>
      </w:r>
    </w:p>
    <w:p>
      <w:pPr>
        <w:autoSpaceDN w:val="0"/>
        <w:autoSpaceDE w:val="0"/>
        <w:widowControl/>
        <w:spacing w:line="230" w:lineRule="auto" w:before="530" w:after="0"/>
        <w:ind w:left="1718" w:right="0" w:firstLine="0"/>
        <w:jc w:val="left"/>
      </w:pPr>
      <w:r>
        <w:rPr>
          <w:w w:val="98.34335446357727"/>
          <w:rFonts w:ascii="Times New Roman" w:hAnsi="Times New Roman" w:eastAsia="Times New Roman"/>
          <w:b/>
          <w:i w:val="0"/>
          <w:color w:val="000000"/>
          <w:sz w:val="16"/>
        </w:rPr>
        <w:t>METHODOLOGICAL COMPONENT</w:t>
      </w:r>
    </w:p>
    <w:p>
      <w:pPr>
        <w:autoSpaceDN w:val="0"/>
        <w:tabs>
          <w:tab w:pos="364" w:val="left"/>
          <w:tab w:pos="2974" w:val="left"/>
        </w:tabs>
        <w:autoSpaceDE w:val="0"/>
        <w:widowControl/>
        <w:spacing w:line="245" w:lineRule="auto" w:before="74" w:after="0"/>
        <w:ind w:left="56" w:right="4176" w:firstLine="0"/>
        <w:jc w:val="left"/>
      </w:pPr>
      <w:r>
        <w:rPr>
          <w:w w:val="97.29491642543248"/>
          <w:rFonts w:ascii="Times New Roman" w:hAnsi="Times New Roman" w:eastAsia="Times New Roman"/>
          <w:b/>
          <w:i w:val="0"/>
          <w:color w:val="000000"/>
          <w:sz w:val="14"/>
        </w:rPr>
        <w:t xml:space="preserve">SHAPES AND STYLES: </w:t>
      </w:r>
      <w:r>
        <w:tab/>
      </w:r>
      <w:r>
        <w:rPr>
          <w:w w:val="97.29491642543248"/>
          <w:rFonts w:ascii="Times New Roman" w:hAnsi="Times New Roman" w:eastAsia="Times New Roman"/>
          <w:b/>
          <w:i w:val="0"/>
          <w:color w:val="000000"/>
          <w:sz w:val="14"/>
        </w:rPr>
        <w:t xml:space="preserve">Tools: </w:t>
      </w:r>
      <w:r>
        <w:br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Lectures, practical classes; </w:t>
      </w:r>
      <w:r>
        <w:tab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working programs of Sciences; </w:t>
      </w:r>
      <w:r>
        <w:br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Research work of students (design of </w:t>
      </w:r>
      <w:r>
        <w:tab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educational and methodological manuals: "Informatics", </w:t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course and diploma work); </w:t>
      </w:r>
      <w:r>
        <w:tab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"programming", "computer praktikum", "structures and </w:t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Training and production practices; </w:t>
      </w:r>
      <w:r>
        <w:tab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algorithms for processing data", " data analysis”; </w:t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Style of projects; </w:t>
      </w:r>
      <w:r>
        <w:tab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a set of developing tasks; electronic-educational, Internet </w:t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Stimulation and motivating techniques; </w:t>
      </w:r>
      <w:r>
        <w:tab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resources; </w:t>
      </w:r>
      <w:r>
        <w:br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>- style of educational tasks.</w:t>
      </w:r>
      <w:r>
        <w:tab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technical means of training. </w:t>
      </w:r>
    </w:p>
    <w:p>
      <w:pPr>
        <w:autoSpaceDN w:val="0"/>
        <w:autoSpaceDE w:val="0"/>
        <w:widowControl/>
        <w:spacing w:line="245" w:lineRule="auto" w:before="176" w:after="0"/>
        <w:ind w:left="56" w:right="4176" w:firstLine="2422"/>
        <w:jc w:val="left"/>
      </w:pPr>
      <w:r>
        <w:rPr>
          <w:w w:val="97.29491642543248"/>
          <w:rFonts w:ascii="Times New Roman" w:hAnsi="Times New Roman" w:eastAsia="Times New Roman"/>
          <w:b/>
          <w:i w:val="0"/>
          <w:color w:val="000000"/>
          <w:sz w:val="14"/>
        </w:rPr>
        <w:t>PEDAGOGICAL CONDITIONS:</w:t>
      </w:r>
      <w:r>
        <w:br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Use of developing tasks that reflect the structure and content of analysis skills; </w:t>
      </w:r>
      <w:r>
        <w:br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Directing the independent work of students to research activities in the process of studying information </w:t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technology; </w:t>
      </w:r>
      <w:r>
        <w:br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 xml:space="preserve">- Implementation of the interaction of educators and students towards the individual on the basis of the method </w:t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>of projects implemented using information technology</w:t>
      </w:r>
      <w:r>
        <w:rPr>
          <w:w w:val="97.8540817896525"/>
          <w:rFonts w:ascii="Times New Roman" w:hAnsi="Times New Roman" w:eastAsia="Times New Roman"/>
          <w:b w:val="0"/>
          <w:i w:val="0"/>
          <w:color w:val="000000"/>
          <w:sz w:val="12"/>
        </w:rPr>
        <w:t xml:space="preserve">. </w:t>
      </w:r>
    </w:p>
    <w:p>
      <w:pPr>
        <w:autoSpaceDN w:val="0"/>
        <w:autoSpaceDE w:val="0"/>
        <w:widowControl/>
        <w:spacing w:line="228" w:lineRule="auto" w:before="344" w:after="0"/>
        <w:ind w:left="1290" w:right="0" w:firstLine="0"/>
        <w:jc w:val="left"/>
      </w:pPr>
      <w:r>
        <w:rPr>
          <w:w w:val="98.34335446357727"/>
          <w:rFonts w:ascii="Times New Roman" w:hAnsi="Times New Roman" w:eastAsia="Times New Roman"/>
          <w:b/>
          <w:i w:val="0"/>
          <w:color w:val="000000"/>
          <w:sz w:val="16"/>
        </w:rPr>
        <w:t xml:space="preserve">RESULTANT-EVALUATION COMPONENT </w:t>
      </w:r>
    </w:p>
    <w:p>
      <w:pPr>
        <w:autoSpaceDN w:val="0"/>
        <w:autoSpaceDE w:val="0"/>
        <w:widowControl/>
        <w:spacing w:line="245" w:lineRule="auto" w:before="234" w:after="154"/>
        <w:ind w:left="1872" w:right="5616" w:firstLine="0"/>
        <w:jc w:val="center"/>
      </w:pPr>
      <w:r>
        <w:rPr>
          <w:w w:val="97.29491642543248"/>
          <w:rFonts w:ascii="Times New Roman" w:hAnsi="Times New Roman" w:eastAsia="Times New Roman"/>
          <w:b/>
          <w:i w:val="0"/>
          <w:color w:val="000000"/>
          <w:sz w:val="14"/>
        </w:rPr>
        <w:t xml:space="preserve">The degree of formation of analysis skills </w:t>
      </w:r>
      <w:r>
        <w:br/>
      </w:r>
      <w:r>
        <w:rPr>
          <w:w w:val="97.29491642543248"/>
          <w:rFonts w:ascii="Times New Roman" w:hAnsi="Times New Roman" w:eastAsia="Times New Roman"/>
          <w:b/>
          <w:i w:val="0"/>
          <w:color w:val="000000"/>
          <w:sz w:val="14"/>
        </w:rPr>
        <w:t xml:space="preserve">ASSESSMENT METHODS AND TOOLS </w:t>
      </w:r>
      <w:r>
        <w:br/>
      </w: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>(questionnaire filling, test-surveys, diagnostic tasks)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56.0" w:type="dxa"/>
      </w:tblPr>
      <w:tblGrid>
        <w:gridCol w:w="3479"/>
        <w:gridCol w:w="3479"/>
        <w:gridCol w:w="3479"/>
      </w:tblGrid>
      <w:tr>
        <w:trPr>
          <w:trHeight w:hRule="exact" w:val="198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68" w:after="0"/>
              <w:ind w:left="0" w:right="416" w:firstLine="0"/>
              <w:jc w:val="right"/>
            </w:pPr>
            <w:r>
              <w:rPr>
                <w:w w:val="98.34335446357727"/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>Self-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8" w:after="0"/>
              <w:ind w:left="342" w:right="0" w:firstLine="0"/>
              <w:jc w:val="left"/>
            </w:pPr>
            <w:r>
              <w:rPr>
                <w:w w:val="97.29491642543248"/>
                <w:rFonts w:ascii="Times New Roman" w:hAnsi="Times New Roman" w:eastAsia="Times New Roman"/>
                <w:b/>
                <w:i w:val="0"/>
                <w:color w:val="000000"/>
                <w:sz w:val="14"/>
              </w:rPr>
              <w:t xml:space="preserve">CONTROL PROCEDURE </w:t>
            </w:r>
          </w:p>
        </w:tc>
        <w:tc>
          <w:tcPr>
            <w:tcW w:type="dxa" w:w="4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112" w:after="0"/>
              <w:ind w:left="482" w:right="0" w:firstLine="0"/>
              <w:jc w:val="left"/>
            </w:pPr>
            <w:r>
              <w:rPr>
                <w:w w:val="98.34335446357727"/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Correction of the teaching </w:t>
            </w:r>
          </w:p>
        </w:tc>
      </w:tr>
      <w:tr>
        <w:trPr>
          <w:trHeight w:hRule="exact" w:val="147"/>
        </w:trPr>
        <w:tc>
          <w:tcPr>
            <w:tcW w:type="dxa" w:w="3479"/>
            <w:vMerge/>
            <w:tcBorders/>
          </w:tcPr>
          <w:p/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342" w:right="0" w:firstLine="0"/>
              <w:jc w:val="left"/>
            </w:pPr>
            <w:r>
              <w:rPr>
                <w:w w:val="97.29491642543248"/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Criteria: motivational, cognitive, </w:t>
            </w:r>
          </w:p>
        </w:tc>
        <w:tc>
          <w:tcPr>
            <w:tcW w:type="dxa" w:w="3479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" w:after="0"/>
              <w:ind w:left="0" w:right="304" w:firstLine="0"/>
              <w:jc w:val="right"/>
            </w:pPr>
            <w:r>
              <w:rPr>
                <w:w w:val="98.34335446357727"/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control 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342" w:right="0" w:firstLine="0"/>
              <w:jc w:val="left"/>
            </w:pPr>
            <w:r>
              <w:rPr>
                <w:w w:val="97.29491642543248"/>
                <w:rFonts w:ascii="Times New Roman" w:hAnsi="Times New Roman" w:eastAsia="Times New Roman"/>
                <w:b w:val="0"/>
                <w:i w:val="0"/>
                <w:color w:val="000000"/>
                <w:sz w:val="14"/>
              </w:rPr>
              <w:t xml:space="preserve">reflexive, creative </w:t>
            </w:r>
          </w:p>
        </w:tc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2440" w:firstLine="0"/>
              <w:jc w:val="right"/>
            </w:pPr>
            <w:r>
              <w:rPr>
                <w:w w:val="98.34335446357727"/>
                <w:rFonts w:ascii="Times New Roman" w:hAnsi="Times New Roman" w:eastAsia="Times New Roman"/>
                <w:b w:val="0"/>
                <w:i w:val="0"/>
                <w:color w:val="000000"/>
                <w:sz w:val="16"/>
              </w:rPr>
              <w:t xml:space="preserve">process </w:t>
            </w:r>
          </w:p>
        </w:tc>
      </w:tr>
    </w:tbl>
    <w:p>
      <w:pPr>
        <w:autoSpaceDN w:val="0"/>
        <w:autoSpaceDE w:val="0"/>
        <w:widowControl/>
        <w:spacing w:line="233" w:lineRule="auto" w:before="2" w:after="0"/>
        <w:ind w:left="2258" w:right="0" w:firstLine="0"/>
        <w:jc w:val="left"/>
      </w:pPr>
      <w:r>
        <w:rPr>
          <w:w w:val="97.29491642543248"/>
          <w:rFonts w:ascii="Times New Roman" w:hAnsi="Times New Roman" w:eastAsia="Times New Roman"/>
          <w:b w:val="0"/>
          <w:i w:val="0"/>
          <w:color w:val="000000"/>
          <w:sz w:val="14"/>
        </w:rPr>
        <w:t>Levels: high, medium, low</w:t>
      </w:r>
    </w:p>
    <w:p>
      <w:pPr>
        <w:autoSpaceDN w:val="0"/>
        <w:autoSpaceDE w:val="0"/>
        <w:widowControl/>
        <w:spacing w:line="245" w:lineRule="auto" w:before="114" w:after="0"/>
        <w:ind w:left="0" w:right="5184" w:firstLine="0"/>
        <w:jc w:val="left"/>
      </w:pPr>
      <w:r>
        <w:rPr>
          <w:w w:val="97.85409503512912"/>
          <w:rFonts w:ascii="Times New Roman" w:hAnsi="Times New Roman" w:eastAsia="Times New Roman"/>
          <w:b/>
          <w:i w:val="0"/>
          <w:color w:val="000000"/>
          <w:sz w:val="18"/>
        </w:rPr>
        <w:t xml:space="preserve">Result: </w:t>
      </w:r>
      <w:r>
        <w:rPr>
          <w:w w:val="97.85409503512912"/>
          <w:rFonts w:ascii="Times New Roman" w:hAnsi="Times New Roman" w:eastAsia="Times New Roman"/>
          <w:b w:val="0"/>
          <w:i w:val="0"/>
          <w:color w:val="000000"/>
          <w:sz w:val="18"/>
        </w:rPr>
        <w:t xml:space="preserve">Formation of analysis skills in students-specialists in the field of </w:t>
      </w:r>
      <w:r>
        <w:br/>
      </w:r>
      <w:r>
        <w:rPr>
          <w:w w:val="97.85409503512912"/>
          <w:rFonts w:ascii="Times New Roman" w:hAnsi="Times New Roman" w:eastAsia="Times New Roman"/>
          <w:b w:val="0"/>
          <w:i w:val="0"/>
          <w:color w:val="000000"/>
          <w:sz w:val="18"/>
        </w:rPr>
        <w:t xml:space="preserve">Information Technology </w:t>
      </w:r>
    </w:p>
    <w:p>
      <w:pPr>
        <w:autoSpaceDN w:val="0"/>
        <w:autoSpaceDE w:val="0"/>
        <w:widowControl/>
        <w:spacing w:line="230" w:lineRule="auto" w:before="744" w:after="0"/>
        <w:ind w:left="23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Figure 1. Applied bioinformatics technologypolitical analysis of the leather cover molding model. </w:t>
      </w:r>
    </w:p>
    <w:p>
      <w:pPr>
        <w:autoSpaceDN w:val="0"/>
        <w:tabs>
          <w:tab w:pos="7632" w:val="left"/>
        </w:tabs>
        <w:autoSpaceDE w:val="0"/>
        <w:widowControl/>
        <w:spacing w:line="197" w:lineRule="auto" w:before="658" w:after="0"/>
        <w:ind w:left="402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32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84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9" w:lineRule="auto" w:before="158" w:after="0"/>
        <w:ind w:left="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result-assessment component involves diagnosing the methods and means of assessing to what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extent analytical skills are formed, the degree of formation of these skills in accordance with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motational, cognitive, reflexive and creative criteria, their indicators and distinguished levels.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higher education, the model for the formation of analytical skills of specialists in the field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bioinformative technologies I provides for the implementation of functions that activate the subject,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professionally reform, are oriented towards practice. </w:t>
      </w:r>
    </w:p>
    <w:p>
      <w:pPr>
        <w:autoSpaceDN w:val="0"/>
        <w:autoSpaceDE w:val="0"/>
        <w:widowControl/>
        <w:spacing w:line="274" w:lineRule="auto" w:before="50" w:after="0"/>
        <w:ind w:left="60" w:right="44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function of activating the subject determines the main role of the student as a subject of education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educational process. In the process of interaction with educators, the student acquires methods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self-education, self-knowledge and self-realization. This function, when viewed from the position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each individual person, makes it necessary to provide pedagogical support for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education, motivational and subjectively conditioned increase in its importance, to be prepared for it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throughout life, the evolution of another position held by a person in all social processes, to change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status occupied by the learner in education. The position of the subject of knowledge is realized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the student if he: if he independently acquires new knowledge and uses existing knowledge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creatively, using the experience of his personal life activity extensively; if he consciously chooses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actively uses methods of educational work that characterize not only the achieved result, but also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 of acquiring knowledge; makes independent and responsible decisions to choose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educational tools that apply to him, and thus actively influences what and how he learns; if he plans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his educational work, analyzes, predicts and evaluates its results; if individual interests, taking into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account needs, build cooperation relations with other people, respecting their national, spiritual,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cultural traditions; when, in the process of working together, he coordinates his personal point of view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 the opinions of others. </w:t>
      </w:r>
    </w:p>
    <w:p>
      <w:pPr>
        <w:autoSpaceDN w:val="0"/>
        <w:autoSpaceDE w:val="0"/>
        <w:widowControl/>
        <w:spacing w:line="269" w:lineRule="auto" w:before="52" w:after="0"/>
        <w:ind w:left="60" w:right="44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professional reform function creates conditions for updating the knowledge of the learner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overcoming stereotypes of his experience, puts mechanisms for updating concepts formed in practical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activities (as a result of personal experience, such as trying and making mistakes, victory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failure). In this case, it will be necessary to professionally train the future creators of software,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taking into account the concrete sectors and IT sectors of the economy, based on the demand and their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qualifications that are happening to them in the labor market. </w:t>
      </w:r>
    </w:p>
    <w:p>
      <w:pPr>
        <w:autoSpaceDN w:val="0"/>
        <w:autoSpaceDE w:val="0"/>
        <w:widowControl/>
        <w:spacing w:line="262" w:lineRule="auto" w:before="54" w:after="0"/>
        <w:ind w:left="60" w:right="45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practice-oriented function reflects the presence of analytical skills in students in solving a problem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situation, the need for a technological approach to tracing any professional situation in which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 of professional behavior is developed in relation to shui. </w:t>
      </w:r>
    </w:p>
    <w:p>
      <w:pPr>
        <w:autoSpaceDN w:val="0"/>
        <w:autoSpaceDE w:val="0"/>
        <w:widowControl/>
        <w:spacing w:line="262" w:lineRule="auto" w:before="50" w:after="0"/>
        <w:ind w:left="60" w:right="44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 the higher educational institution, the methodological basis of the model for the formation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student's analytical skills is the field of approaches to the shasx, competency, technological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activity. </w:t>
      </w:r>
    </w:p>
    <w:p>
      <w:pPr>
        <w:autoSpaceDN w:val="0"/>
        <w:autoSpaceDE w:val="0"/>
        <w:widowControl/>
        <w:spacing w:line="269" w:lineRule="auto" w:before="52" w:after="0"/>
        <w:ind w:left="60" w:right="44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Within the framework of the approach towards the individual, the idea of the priority of the social,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active and creative essence of the individual was decided, the development of the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qualities of the shaskh was determined to be important, it was envisaged to take into account that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individuality of the future IT specialist is unique.  Student-the main subject of the educational process.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student retains the right of educational work to the student to acquire knowledge, skills, establish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his place in knowledge and realize himself by acquiring methods that provide adequate tools in their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application in situations not foreseen in education. </w:t>
      </w:r>
    </w:p>
    <w:p>
      <w:pPr>
        <w:autoSpaceDN w:val="0"/>
        <w:autoSpaceDE w:val="0"/>
        <w:widowControl/>
        <w:spacing w:line="252" w:lineRule="auto" w:before="54" w:after="0"/>
        <w:ind w:left="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competency approach makes it possible to accurately determine the goals of pedagogical activity at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 higher educational institution in order to ensure that the specialist is able to apply his analytical skills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33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4" w:lineRule="auto" w:before="158" w:after="0"/>
        <w:ind w:left="60" w:right="45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 a consistent, consequential way, as opposed to the structural components of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competence. A specific task, which is considered important in the profession, requires the future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programmer to show competence when solving the range of issues on the basis of knowledge, skills,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qualifications, abilities, guidance, values acquired during professional education. </w:t>
      </w:r>
    </w:p>
    <w:p>
      <w:pPr>
        <w:autoSpaceDN w:val="0"/>
        <w:autoSpaceDE w:val="0"/>
        <w:widowControl/>
        <w:spacing w:line="269" w:lineRule="auto" w:before="52" w:after="0"/>
        <w:ind w:left="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question of readiness for action is considered by researchers from two different perspectives: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functional and personality-specific. The first position figures define readiness, shaylik as a separate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functional state, a psychological condition for the success of the activity performed against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background of the general activity of the organism, as opposed to the socially recorded instruction.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Proponents of the personality approach view readiness as a complex intagral personality education.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Its components are considered the formation of psychic processes, States and properties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individual. </w:t>
      </w:r>
    </w:p>
    <w:p>
      <w:pPr>
        <w:autoSpaceDN w:val="0"/>
        <w:autoSpaceDE w:val="0"/>
        <w:widowControl/>
        <w:spacing w:line="266" w:lineRule="auto" w:before="52" w:after="0"/>
        <w:ind w:left="60" w:right="44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Readiness to conduct activities provides for the presence in learners of the following structural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elements: a positive attitude to various manifestations of activity, occupation; aspects of character,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abilities, temperament corresponding to the requirements of activity, occupation; necessary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knowledge, skills, qualifications; stable professionally significant characteristics of perception,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attention, thinking, emotional and volitional processes. </w:t>
      </w:r>
    </w:p>
    <w:p>
      <w:pPr>
        <w:autoSpaceDN w:val="0"/>
        <w:autoSpaceDE w:val="0"/>
        <w:widowControl/>
        <w:spacing w:line="262" w:lineRule="auto" w:before="52" w:after="0"/>
        <w:ind w:left="60" w:right="44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opposed to the integrated quality of the professional's readiness, shaylik is considered the main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condition for the specialist's rapid adaptation to professional activities, adaptation, further professional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growth and continuous, inexhaustible increase in his qualifications. </w:t>
      </w:r>
    </w:p>
    <w:p>
      <w:pPr>
        <w:autoSpaceDN w:val="0"/>
        <w:autoSpaceDE w:val="0"/>
        <w:widowControl/>
        <w:spacing w:line="271" w:lineRule="auto" w:before="52" w:after="0"/>
        <w:ind w:left="60" w:right="44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technological approach implies the organization of such an educational process, in which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acquisition of ways and methods of organizing the process of formation of analytical activity skills,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analytical skills is ensured through the implementation of a problematic, developing issue-tasks.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Programming is related to the task solving process, an issue that the student implements. To solve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problem-tasks, he mentally looks for different ways, chooses suitable instruments or prepares them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himself mutsaqil. Programming is a kind of knowledge of the world, in which the first plan comes out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one or another issue-the search, formation of ideas and concepts that will be necessary for solving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tasks. Learning begins with practical action and perception, moves from them to words and concepts,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ends with the development of some characteristic of the mental structure. </w:t>
      </w:r>
    </w:p>
    <w:p>
      <w:pPr>
        <w:autoSpaceDN w:val="0"/>
        <w:autoSpaceDE w:val="0"/>
        <w:widowControl/>
        <w:spacing w:line="264" w:lineRule="auto" w:before="54" w:after="0"/>
        <w:ind w:left="60" w:right="446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Educational tools used to form students  analytical skills include the following components: training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production equipment as opposed to computers, in which learners develop professional skills and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qualifications; educational and methodological support designed to support the course transition;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electronic and educational resources and Internet resources. </w:t>
      </w:r>
    </w:p>
    <w:p>
      <w:pPr>
        <w:autoSpaceDN w:val="0"/>
        <w:autoSpaceDE w:val="0"/>
        <w:widowControl/>
        <w:spacing w:line="269" w:lineRule="auto" w:before="52" w:after="0"/>
        <w:ind w:left="60" w:right="444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As a result of the application of interactive technologies, the following issues of the educational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process will find a solution: to increase the efficiency and optimality of mastering the educational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material; to arouse the interest of the individual in the study of the subjects provided for in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curriculum, to strengthen motivation; to bring the educational information provided closer to the;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teaching to respect the right of the participant who is working together to express personal opinion;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formation of life and professional skills. </w:t>
      </w:r>
    </w:p>
    <w:p>
      <w:pPr>
        <w:autoSpaceDN w:val="0"/>
        <w:autoSpaceDE w:val="0"/>
        <w:widowControl/>
        <w:spacing w:line="266" w:lineRule="auto" w:before="52" w:after="0"/>
        <w:ind w:left="60" w:right="448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Both practical classes and lectures are conducted in an interactive form. A problematic lecture, a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lecture with deliberately allowed errors, a lecture-visualization is separated. In the process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professional training of specialists in the field of bioinformational technologies I, a number of specific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expected goals were aimed at achieving from the application of interactive technologies: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strengthening motivation for obtaining active knowledge; formation of analytical skills and reflexive 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34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p>
      <w:pPr>
        <w:sectPr>
          <w:pgSz w:w="11906" w:h="16838"/>
          <w:pgMar w:top="354" w:right="626" w:bottom="608" w:left="10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864" w:right="1152" w:firstLine="0"/>
        <w:jc w:val="center"/>
      </w:pPr>
      <w:r>
        <w:rPr>
          <w:rFonts w:ascii="Cambria" w:hAnsi="Cambria" w:eastAsia="Cambria"/>
          <w:b w:val="0"/>
          <w:i w:val="0"/>
          <w:color w:val="006FC0"/>
          <w:sz w:val="32"/>
        </w:rPr>
        <w:t xml:space="preserve">American Journal of Pedagogical and Educational Research </w:t>
      </w:r>
      <w:r>
        <w:rPr>
          <w:rFonts w:ascii="Cambria" w:hAnsi="Cambria" w:eastAsia="Cambria"/>
          <w:b w:val="0"/>
          <w:i w:val="0"/>
          <w:color w:val="000000"/>
          <w:sz w:val="22"/>
        </w:rPr>
        <w:t>Volume 15 August, 2023</w:t>
      </w:r>
    </w:p>
    <w:p>
      <w:pPr>
        <w:autoSpaceDN w:val="0"/>
        <w:autoSpaceDE w:val="0"/>
        <w:widowControl/>
        <w:spacing w:line="240" w:lineRule="auto" w:before="42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6502400" cy="50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50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2" w:lineRule="auto" w:before="158" w:after="0"/>
        <w:ind w:left="60" w:right="45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apparent qualities; formation of skills to master modern technical means and technologies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information processing; formation and cultivation of the ability to determine the validity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information independent topi shva; formation of self-organization skills. </w:t>
      </w:r>
    </w:p>
    <w:p>
      <w:pPr>
        <w:autoSpaceDN w:val="0"/>
        <w:autoSpaceDE w:val="0"/>
        <w:widowControl/>
        <w:spacing w:line="262" w:lineRule="auto" w:before="52" w:after="0"/>
        <w:ind w:left="60" w:right="45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Thus, the corresponding model takes the field in the process of professional education as an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approximate basis for the realization of the process of formation of analytical skills in future specialists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of the field I of bioinformational technologies. </w:t>
      </w:r>
    </w:p>
    <w:p>
      <w:pPr>
        <w:autoSpaceDN w:val="0"/>
        <w:autoSpaceDE w:val="0"/>
        <w:widowControl/>
        <w:spacing w:line="269" w:lineRule="auto" w:before="370" w:after="0"/>
        <w:ind w:left="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Conclusion/ Recommendations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Bioinformational technologies I, a number of specific and expected goals were aimed at achieving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from the application of interactive technologies: strengthening motivation for obtaining active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knowledge; formation of analytical skills and reflexive apparent qualities; formation of skills to master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modern technical means and technologies of information processing; formation and cultivation of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ability to determine the validity of information independent topi shva; formation of self-organization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skills. </w:t>
      </w:r>
    </w:p>
    <w:p>
      <w:pPr>
        <w:autoSpaceDN w:val="0"/>
        <w:tabs>
          <w:tab w:pos="344" w:val="left"/>
        </w:tabs>
        <w:autoSpaceDE w:val="0"/>
        <w:widowControl/>
        <w:spacing w:line="264" w:lineRule="auto" w:before="368" w:after="0"/>
        <w:ind w:left="60" w:right="432" w:firstLine="0"/>
        <w:jc w:val="left"/>
      </w:pPr>
      <w:r>
        <w:rPr>
          <w:rFonts w:ascii="Times New Roman" w:hAnsi="Times New Roman" w:eastAsia="Times New Roman"/>
          <w:b/>
          <w:i w:val="0"/>
          <w:color w:val="000000"/>
          <w:sz w:val="24"/>
        </w:rPr>
        <w:t xml:space="preserve">List of Literature Used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1. Ganesh Naik - Biomedical Signal Processing_ Advances in Theory, Algorithms and Applications-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Springer Singapore. Publisher:  Springer; 1st ed. 2020 edition (November 25, 2020). Paperback: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444 pages, ISBN-10:  9811390991, ISBN-13:  978-9811390999. </w:t>
      </w:r>
    </w:p>
    <w:p>
      <w:pPr>
        <w:autoSpaceDN w:val="0"/>
        <w:tabs>
          <w:tab w:pos="344" w:val="left"/>
        </w:tabs>
        <w:autoSpaceDE w:val="0"/>
        <w:widowControl/>
        <w:spacing w:line="266" w:lineRule="auto" w:before="52" w:after="0"/>
        <w:ind w:left="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2. Suresh R. Devasahayam - Signals and Systems in Biomedical Engineering_ Physiological Systems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Modeling and Signal Processing-Springer Singapore. Publisher : Springer; 2nd ed. 2013 edition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(November 8, 2012), Hardcover:  404 pages, ISBN-10:1461453313, ISBN-13: 978-1461453314.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3. Немирко А.П., Манило Л.А., Калиниченко А.Н. - Математический анализ биомедицинских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сигналов и данных-Лань. Москва: Физматлит, 2017. 248 стр. </w:t>
      </w:r>
    </w:p>
    <w:p>
      <w:pPr>
        <w:autoSpaceDN w:val="0"/>
        <w:autoSpaceDE w:val="0"/>
        <w:widowControl/>
        <w:spacing w:line="262" w:lineRule="auto" w:before="54" w:after="0"/>
        <w:ind w:left="344" w:right="452" w:hanging="284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В.С.Кубланов, В.И.Борисов, А.Ю.Долганов. Анализ биомедицинских сигналов в среде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MATLAB. Анализ биомедицинских сигналов в среде MATLAB : учебное пособие /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Екатеринбург: Изд-во Урал. ун-та, 2016. – 120 с. </w:t>
      </w:r>
    </w:p>
    <w:p>
      <w:pPr>
        <w:autoSpaceDN w:val="0"/>
        <w:tabs>
          <w:tab w:pos="344" w:val="left"/>
        </w:tabs>
        <w:autoSpaceDE w:val="0"/>
        <w:widowControl/>
        <w:spacing w:line="254" w:lineRule="auto" w:before="50" w:after="0"/>
        <w:ind w:left="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5. З.З.Мирюсупов, Ж.Х.Джуманов. «Компьютер архитектураси». /TATУ. 144 бет. Тошкент,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2017. </w:t>
      </w:r>
    </w:p>
    <w:p>
      <w:pPr>
        <w:autoSpaceDN w:val="0"/>
        <w:autoSpaceDE w:val="0"/>
        <w:widowControl/>
        <w:spacing w:line="230" w:lineRule="auto" w:before="50" w:after="26"/>
        <w:ind w:left="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6. Ergashev, N. (2023, May). RAQAMLI TEXNOLOGIYALAR MUHITIDA TA’LIMNI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.0" w:type="dxa"/>
      </w:tblPr>
      <w:tblGrid>
        <w:gridCol w:w="1710"/>
        <w:gridCol w:w="1710"/>
        <w:gridCol w:w="1710"/>
        <w:gridCol w:w="1710"/>
        <w:gridCol w:w="1710"/>
        <w:gridCol w:w="1710"/>
      </w:tblGrid>
      <w:tr>
        <w:trPr>
          <w:trHeight w:hRule="exact" w:val="316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8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RIVOJLANTIRISHNING 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YETAKCHI </w:t>
            </w:r>
          </w:p>
        </w:tc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TENDENSIYALARI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VA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ISTIQBOLLARI.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6" w:after="0"/>
              <w:ind w:left="11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In </w:t>
            </w:r>
          </w:p>
        </w:tc>
      </w:tr>
    </w:tbl>
    <w:p>
      <w:pPr>
        <w:autoSpaceDN w:val="0"/>
        <w:autoSpaceDE w:val="0"/>
        <w:widowControl/>
        <w:spacing w:line="252" w:lineRule="auto" w:before="26" w:after="0"/>
        <w:ind w:left="344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International Scientific and Practical Conference on Algorithms and Current Problems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Programming. </w:t>
      </w:r>
    </w:p>
    <w:p>
      <w:pPr>
        <w:autoSpaceDN w:val="0"/>
        <w:tabs>
          <w:tab w:pos="344" w:val="left"/>
        </w:tabs>
        <w:autoSpaceDE w:val="0"/>
        <w:widowControl/>
        <w:spacing w:line="269" w:lineRule="auto" w:before="54" w:after="0"/>
        <w:ind w:left="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7. Gayratovich, E. N. (2023). A MODEL OF THE STRUCTURAL STRUCTURE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PEDAGOGICAL STRUCTURING OF EDUCATION IN THE CONTEXT OF DIGITAL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TECHNOLOGIES. American Journal of Pedagogical and Educational Research, 13, 64-69.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8. G’ayratovich, E. N. (2022). The Problem of Training Future Engineer Personnel on the Basis of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Cloud Technology in Technical Specialties of Higher Education. Eurasian Scientific Herald, 13, 1-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4. </w:t>
      </w:r>
    </w:p>
    <w:p>
      <w:pPr>
        <w:autoSpaceDN w:val="0"/>
        <w:tabs>
          <w:tab w:pos="344" w:val="left"/>
          <w:tab w:pos="780" w:val="left"/>
        </w:tabs>
        <w:autoSpaceDE w:val="0"/>
        <w:widowControl/>
        <w:spacing w:line="264" w:lineRule="auto" w:before="50" w:after="0"/>
        <w:ind w:left="60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9. Ergashev, N. (2022). Theoretical staff training using cloud technology in continuing education. 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International Conference on Problems of Improving Education and Science (Vol. 1, No. 02).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10.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G‘ayratovich, E. N. (2022). The Theory of the Use of Cloud Technologies in the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>Implementation of Hierarchical Preparation of Engineers. Eurasian Research Bulletin, 7, 18-21.</w:t>
      </w:r>
    </w:p>
    <w:p>
      <w:pPr>
        <w:autoSpaceDN w:val="0"/>
        <w:tabs>
          <w:tab w:pos="7456" w:val="left"/>
        </w:tabs>
        <w:autoSpaceDE w:val="0"/>
        <w:widowControl/>
        <w:spacing w:line="197" w:lineRule="auto" w:before="186" w:after="0"/>
        <w:ind w:left="226" w:right="0" w:firstLine="0"/>
        <w:jc w:val="left"/>
      </w:pPr>
      <w:r>
        <w:rPr>
          <w:rFonts w:ascii="Calibri" w:hAnsi="Calibri" w:eastAsia="Calibri"/>
          <w:b w:val="0"/>
          <w:i w:val="0"/>
          <w:color w:val="919191"/>
          <w:sz w:val="22"/>
        </w:rPr>
        <w:t>P a g 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 |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35 </w:t>
      </w:r>
      <w:r>
        <w:tab/>
      </w:r>
      <w:r>
        <w:rPr>
          <w:rFonts w:ascii="Calibri" w:hAnsi="Calibri" w:eastAsia="Calibri"/>
          <w:b w:val="0"/>
          <w:i w:val="0"/>
          <w:color w:val="000000"/>
          <w:sz w:val="20"/>
        </w:rPr>
        <w:t>www.americanjournal.org</w:t>
      </w:r>
    </w:p>
    <w:sectPr w:rsidR="00FC693F" w:rsidRPr="0006063C" w:rsidSect="00034616">
      <w:pgSz w:w="11906" w:h="16838"/>
      <w:pgMar w:top="354" w:right="626" w:bottom="608" w:left="102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