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2"/>
        <w:ind w:left="0" w:right="0"/>
      </w:pPr>
    </w:p>
    <w:p>
      <w:pPr>
        <w:sectPr>
          <w:pgSz w:w="11906" w:h="16838"/>
          <w:pgMar w:top="660" w:right="1440" w:bottom="36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660" w:right="1440" w:bottom="362" w:left="1440" w:header="720" w:footer="720" w:gutter="0"/>
          <w:cols w:num="2" w:equalWidth="0">
            <w:col w:w="4668" w:space="0"/>
            <w:col w:w="43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30"/>
        <w:ind w:left="860" w:right="144" w:firstLine="168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September 9,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 ISSN 2723-6927-e ISSN 2723-4339 </w:t>
      </w:r>
    </w:p>
    <w:p>
      <w:pPr>
        <w:sectPr>
          <w:type w:val="nextColumn"/>
          <w:pgSz w:w="11906" w:h="16838"/>
          <w:pgMar w:top="660" w:right="1440" w:bottom="362" w:left="1440" w:header="720" w:footer="720" w:gutter="0"/>
          <w:cols w:num="2" w:equalWidth="0">
            <w:col w:w="4668" w:space="0"/>
            <w:col w:w="43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76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The Relationship of Smoking Status and Ventilation Extent with The Incident of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Tuberculosis </w:t>
      </w:r>
    </w:p>
    <w:p>
      <w:pPr>
        <w:autoSpaceDN w:val="0"/>
        <w:autoSpaceDE w:val="0"/>
        <w:widowControl/>
        <w:spacing w:line="250" w:lineRule="auto" w:before="434" w:after="0"/>
        <w:ind w:left="864" w:right="864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Irma Dwi Khoirun Nisak, Zaenal Abidin, and Karina Nur Ramadanintyas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STIKES Bhakti Husada Mulia, Madiun, Indonesia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Email: irma41902@gmail.com</w:t>
      </w:r>
    </w:p>
    <w:p>
      <w:pPr>
        <w:autoSpaceDN w:val="0"/>
        <w:autoSpaceDE w:val="0"/>
        <w:widowControl/>
        <w:spacing w:line="245" w:lineRule="auto" w:before="43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is an infectious disease caused by the bacterium Mycobacterium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and attacks the organs or tissues of the human body, especially the lungs,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is caused by an imbalance between the environment, agent and host. Factors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 cause the spread of tuberculosis, if treatment is not carried out quickly, will cause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increase in the number of cases of tuberculosis. The aim of this research is to analyze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relationship between family smoking status and ventilation area with the incidence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tuberculosis in the working area of the Banjarejo Community Health Center, Madiun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City. In this research, researchers used quantitative research as an approach.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method used is an analytical survey while the type of research is Case Control.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total population was 35 tuberculosis cases with a sample size of 52 respondents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who were divided between the case group and the control group using the Chi-Square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test. The results of the study showed that there was a significant relationship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independent variables of family smoking status (p-value = 0.018), ventilation area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(p-value = 0.007) with the incidence of tuberculosis in the working area of the Banjarejo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Community Health Center, Madiun City. </w:t>
      </w:r>
    </w:p>
    <w:p>
      <w:pPr>
        <w:autoSpaceDN w:val="0"/>
        <w:autoSpaceDE w:val="0"/>
        <w:widowControl/>
        <w:spacing w:line="197" w:lineRule="auto" w:before="52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Keywords: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Tuberculosis, Family Smoking Status, Extent of Ventilation </w:t>
      </w:r>
    </w:p>
    <w:p>
      <w:pPr>
        <w:autoSpaceDN w:val="0"/>
        <w:tabs>
          <w:tab w:pos="982" w:val="left"/>
        </w:tabs>
        <w:autoSpaceDE w:val="0"/>
        <w:widowControl/>
        <w:spacing w:line="264" w:lineRule="auto" w:before="43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is an infectious disease caused by the bacteria Mycobacterium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and attacks the organs or tissues of the human body, especially the lungs.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Every year, this disease can claim one million lives due to infection with tuberculosis.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has a huge impact on other people, especially the family or surrounding community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(RI Ministry of Health, 2020). </w:t>
      </w:r>
    </w:p>
    <w:p>
      <w:pPr>
        <w:autoSpaceDN w:val="0"/>
        <w:autoSpaceDE w:val="0"/>
        <w:widowControl/>
        <w:spacing w:line="266" w:lineRule="auto" w:before="98" w:after="0"/>
        <w:ind w:left="262" w:right="212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Transmission of tuberculosis is caused by the spread of germs through the air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form of phlegm droplets due to stones or sneezes from tuberculosis sufferers. In one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cough or sneeze a sufferer can produce 300 splashes of phlegm. Germs that spread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air are then inhaled by healthy people and enter the lungs, causing infections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healthy people. Pulmonary tuberculosis requires regular treatment for 6 months, if it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less than 6 months or incomplete then the treatment stage is repeated from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beginning and it will take a long time to recover from this disease and can even cause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death. (RI Ministry of Health, 2020).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09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Volume 5, No. 9 September,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663 </w:t>
      </w:r>
    </w:p>
    <w:p>
      <w:pPr>
        <w:sectPr>
          <w:type w:val="continuous"/>
          <w:pgSz w:w="11906" w:h="16838"/>
          <w:pgMar w:top="660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East Java, there were 42,560 cases of tuberculosis in 2021, 42,922 cases in 2020,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78,799 cases in 2022. Because most tuberculosis patients are between 15 and 64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years old, community recovery and comprehensive treatment of the disease can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carried out. can increase their productivity and enable them to lead a normal life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society (East Java Provincial Health Service, 2022). </w:t>
      </w:r>
    </w:p>
    <w:p>
      <w:pPr>
        <w:autoSpaceDN w:val="0"/>
        <w:autoSpaceDE w:val="0"/>
        <w:widowControl/>
        <w:spacing w:line="264" w:lineRule="auto" w:before="98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2021 Madiun City Health Profile, the Banjarejo Community Health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Center work area has the highest number of tuberculosis cases, namely 26 cases in 2021,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22 cases in 2020, and 33 cases in 2019. Even though in 2020 there was a decrease of 11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cases. with a percentage of 4.9% compared to the previous year, but in 2021 there will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an additional 4 cases of tuberculosis or a percentage of 10% (Madiun City PP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Family Planning Health Service, 2022). Meanwhile, in 2023, based on medical record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at the Banjarejo Community Health Center, there will be 35 cases of tuberculosis. </w:t>
      </w:r>
    </w:p>
    <w:p>
      <w:pPr>
        <w:autoSpaceDN w:val="0"/>
        <w:autoSpaceDE w:val="0"/>
        <w:widowControl/>
        <w:spacing w:line="259" w:lineRule="auto" w:before="98" w:after="0"/>
        <w:ind w:left="262" w:right="21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John Gordon's epidemiological triangle idea, an imbalance of host,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agent, and environmental factors impacts the disease state. Likewise, pulmonary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is caused by an imbalance between the environment, agent and host.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Pulmonary tuberculosis host variables include the host, such as smoking status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family. </w:t>
      </w:r>
    </w:p>
    <w:p>
      <w:pPr>
        <w:autoSpaceDN w:val="0"/>
        <w:autoSpaceDE w:val="0"/>
        <w:widowControl/>
        <w:spacing w:line="257" w:lineRule="auto" w:before="96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Environmental changes that facilitate the spread of Mycobacterium tuberculosis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agents. This bacterium is a straight or slightly curved rod measuring 0.2 to 0.4 x 1.4 cm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can cause tuberculosis. These bacteria can survive for 20–30 hours in phlegm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8–10 days in droplets. </w:t>
      </w:r>
    </w:p>
    <w:p>
      <w:pPr>
        <w:autoSpaceDN w:val="0"/>
        <w:autoSpaceDE w:val="0"/>
        <w:widowControl/>
        <w:spacing w:line="259" w:lineRule="auto" w:before="98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regarding environmental factors, one of the factors that causes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is the condition of the home environment. Environmental factors in a house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an impact on the spread and transmission of Mycobacterium TB. People who live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damp, dark, and unventilated homes are more susceptible to the spread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Mycobacterium tuberculosis (Najiyah, 2022). </w:t>
      </w:r>
    </w:p>
    <w:p>
      <w:pPr>
        <w:autoSpaceDN w:val="0"/>
        <w:autoSpaceDE w:val="0"/>
        <w:widowControl/>
        <w:spacing w:line="259" w:lineRule="auto" w:before="98" w:after="0"/>
        <w:ind w:left="262" w:right="204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research (Musdalifa, 2022)which states that the smoking status factor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has a close relationship with the incidence of tuberculosis with valuep value = 0.019.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researchers, there is a relationship between smoking status and education,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where someone with low education tends to smoke and increases the risk of developing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pulmonary TB. </w:t>
      </w:r>
    </w:p>
    <w:p>
      <w:pPr>
        <w:autoSpaceDN w:val="0"/>
        <w:autoSpaceDE w:val="0"/>
        <w:widowControl/>
        <w:spacing w:line="266" w:lineRule="auto" w:before="100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regarding environmental factors, one of the factors that causes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is the condition of the home environment. Environmental factors in a house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an impact on the spread and transmission of Mycobacterium TB. People who live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damp, dark, and unventilated homes are more susceptible to the spread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Mycobacterium tuberculosis. Based on research results(Rosyid, 2023)in 2022, which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located in the working area of the Banjarejo Community Health Center, Madiun City,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 of the physical environment of the house which is one of the causes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spread of tuberculosis in the Banjarejo Community Health Center area is the ventilation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area that does not meet the requirements with a percentage of 53.%.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04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Volume 5, No. 9 September,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664 </w:t>
      </w:r>
    </w:p>
    <w:p>
      <w:pPr>
        <w:sectPr>
          <w:pgSz w:w="11906" w:h="16838"/>
          <w:pgMar w:top="732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62" w:right="210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description above, this is the background for conducting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"The relationship between family smoking status and ventilation area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incidence of tuberculosis in the working area of the Banjarejo Health Center, Madiun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City. </w:t>
      </w:r>
    </w:p>
    <w:p>
      <w:pPr>
        <w:autoSpaceDN w:val="0"/>
        <w:tabs>
          <w:tab w:pos="982" w:val="left"/>
        </w:tabs>
        <w:autoSpaceDE w:val="0"/>
        <w:widowControl/>
        <w:spacing w:line="257" w:lineRule="auto" w:before="43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approach taken in this research is analytical research. The method used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research is a survey method which is carried out by distributing questionnaires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observing respondents directly using the Case Control approach. </w:t>
      </w:r>
    </w:p>
    <w:p>
      <w:pPr>
        <w:autoSpaceDN w:val="0"/>
        <w:tabs>
          <w:tab w:pos="982" w:val="left"/>
        </w:tabs>
        <w:autoSpaceDE w:val="0"/>
        <w:widowControl/>
        <w:spacing w:line="259" w:lineRule="auto" w:before="43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Univariate Analysis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univariate analysis here is presented based on the dependent variable,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namely Tuberculosis. The independent variables are smoking status and ventilation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area. </w:t>
      </w:r>
    </w:p>
    <w:p>
      <w:pPr>
        <w:autoSpaceDN w:val="0"/>
        <w:autoSpaceDE w:val="0"/>
        <w:widowControl/>
        <w:spacing w:line="245" w:lineRule="auto" w:before="434" w:after="48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Table1. Frequency distribution of respondents based on smoking status in the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working area of the Banjarejo Community Health Center, Madiun City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1.9999999999999" w:type="dxa"/>
      </w:tblPr>
      <w:tblGrid>
        <w:gridCol w:w="3009"/>
        <w:gridCol w:w="3009"/>
        <w:gridCol w:w="3009"/>
      </w:tblGrid>
      <w:tr>
        <w:trPr>
          <w:trHeight w:hRule="exact" w:val="348"/>
        </w:trPr>
        <w:tc>
          <w:tcPr>
            <w:tcW w:type="dxa" w:w="27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Smoking Status </w:t>
            </w:r>
          </w:p>
        </w:tc>
        <w:tc>
          <w:tcPr>
            <w:tcW w:type="dxa" w:w="26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Frequency </w:t>
            </w:r>
          </w:p>
        </w:tc>
        <w:tc>
          <w:tcPr>
            <w:tcW w:type="dxa" w:w="27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Presentation </w:t>
            </w:r>
          </w:p>
        </w:tc>
      </w:tr>
      <w:tr>
        <w:trPr>
          <w:trHeight w:hRule="exact" w:val="324"/>
        </w:trPr>
        <w:tc>
          <w:tcPr>
            <w:tcW w:type="dxa" w:w="273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Smoke </w:t>
            </w:r>
          </w:p>
        </w:tc>
        <w:tc>
          <w:tcPr>
            <w:tcW w:type="dxa" w:w="263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275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67.3 </w:t>
            </w:r>
          </w:p>
        </w:tc>
      </w:tr>
      <w:tr>
        <w:trPr>
          <w:trHeight w:hRule="exact" w:val="340"/>
        </w:trPr>
        <w:tc>
          <w:tcPr>
            <w:tcW w:type="dxa" w:w="27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Do not smoke </w:t>
            </w:r>
          </w:p>
        </w:tc>
        <w:tc>
          <w:tcPr>
            <w:tcW w:type="dxa" w:w="26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27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32.7 </w:t>
            </w:r>
          </w:p>
        </w:tc>
      </w:tr>
      <w:tr>
        <w:trPr>
          <w:trHeight w:hRule="exact" w:val="358"/>
        </w:trPr>
        <w:tc>
          <w:tcPr>
            <w:tcW w:type="dxa" w:w="273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26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275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100% </w:t>
            </w:r>
          </w:p>
        </w:tc>
      </w:tr>
    </w:tbl>
    <w:p>
      <w:pPr>
        <w:autoSpaceDN w:val="0"/>
        <w:autoSpaceDE w:val="0"/>
        <w:widowControl/>
        <w:spacing w:line="250" w:lineRule="auto" w:before="384" w:after="0"/>
        <w:ind w:left="262" w:right="208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table 1, there were 35 respondents with family smoking status with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presentation of 67.3%. Meanwhile, respondents with non-smoking status were 17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 with a presentation of 32.7%. </w:t>
      </w:r>
    </w:p>
    <w:p>
      <w:pPr>
        <w:autoSpaceDN w:val="0"/>
        <w:autoSpaceDE w:val="0"/>
        <w:widowControl/>
        <w:spacing w:line="245" w:lineRule="auto" w:before="436" w:after="50"/>
        <w:ind w:left="576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Table2. Frequency distribution of respondents based on ventilation area in the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working area of the Banjarejo Community Health Center, Madiun City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3009"/>
        <w:gridCol w:w="3009"/>
        <w:gridCol w:w="3009"/>
      </w:tblGrid>
      <w:tr>
        <w:trPr>
          <w:trHeight w:hRule="exact" w:val="348"/>
        </w:trPr>
        <w:tc>
          <w:tcPr>
            <w:tcW w:type="dxa" w:w="302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Ventilation area </w:t>
            </w:r>
          </w:p>
        </w:tc>
        <w:tc>
          <w:tcPr>
            <w:tcW w:type="dxa" w:w="265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Frequency </w:t>
            </w:r>
          </w:p>
        </w:tc>
        <w:tc>
          <w:tcPr>
            <w:tcW w:type="dxa" w:w="282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Presentation </w:t>
            </w:r>
          </w:p>
        </w:tc>
      </w:tr>
      <w:tr>
        <w:trPr>
          <w:trHeight w:hRule="exact" w:val="328"/>
        </w:trPr>
        <w:tc>
          <w:tcPr>
            <w:tcW w:type="dxa" w:w="302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Not eligible </w:t>
            </w:r>
          </w:p>
        </w:tc>
        <w:tc>
          <w:tcPr>
            <w:tcW w:type="dxa" w:w="265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282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78.8 </w:t>
            </w:r>
          </w:p>
        </w:tc>
      </w:tr>
      <w:tr>
        <w:trPr>
          <w:trHeight w:hRule="exact" w:val="340"/>
        </w:trPr>
        <w:tc>
          <w:tcPr>
            <w:tcW w:type="dxa" w:w="30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Qualify </w:t>
            </w:r>
          </w:p>
        </w:tc>
        <w:tc>
          <w:tcPr>
            <w:tcW w:type="dxa" w:w="2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28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21.2 </w:t>
            </w:r>
          </w:p>
        </w:tc>
      </w:tr>
      <w:tr>
        <w:trPr>
          <w:trHeight w:hRule="exact" w:val="352"/>
        </w:trPr>
        <w:tc>
          <w:tcPr>
            <w:tcW w:type="dxa" w:w="302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265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282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100% </w:t>
            </w:r>
          </w:p>
        </w:tc>
      </w:tr>
    </w:tbl>
    <w:p>
      <w:pPr>
        <w:autoSpaceDN w:val="0"/>
        <w:autoSpaceDE w:val="0"/>
        <w:widowControl/>
        <w:spacing w:line="250" w:lineRule="auto" w:before="388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table 2, there were 41 respondents whose ventilation area did not meet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requirements with a presentation of 78.8%. Meanwhile, 11 respondents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adequate ventilation area met the requirements with a presentation of 21.2%. </w:t>
      </w:r>
    </w:p>
    <w:p>
      <w:pPr>
        <w:autoSpaceDN w:val="0"/>
        <w:autoSpaceDE w:val="0"/>
        <w:widowControl/>
        <w:spacing w:line="245" w:lineRule="auto" w:before="432" w:after="48"/>
        <w:ind w:left="144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Table3. Frequency distribution of respondents based on the incidence of tuberculosis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 the working area of the Banjarejo Community Health Center, Madiun City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256"/>
        <w:gridCol w:w="2256"/>
        <w:gridCol w:w="2256"/>
        <w:gridCol w:w="2256"/>
      </w:tblGrid>
      <w:tr>
        <w:trPr>
          <w:trHeight w:hRule="exact" w:val="350"/>
        </w:trPr>
        <w:tc>
          <w:tcPr>
            <w:tcW w:type="dxa" w:w="299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Tuberculosis incidence </w:t>
            </w:r>
          </w:p>
        </w:tc>
        <w:tc>
          <w:tcPr>
            <w:tcW w:type="dxa" w:w="23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Frequency </w:t>
            </w:r>
          </w:p>
        </w:tc>
        <w:tc>
          <w:tcPr>
            <w:tcW w:type="dxa" w:w="219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Presentation </w:t>
            </w:r>
          </w:p>
        </w:tc>
        <w:tc>
          <w:tcPr>
            <w:tcW w:type="dxa" w:w="12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6"/>
        </w:trPr>
        <w:tc>
          <w:tcPr>
            <w:tcW w:type="dxa" w:w="5344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Volume 5, No. 9 September, 2024 </w:t>
            </w:r>
          </w:p>
        </w:tc>
        <w:tc>
          <w:tcPr>
            <w:tcW w:type="dxa" w:w="219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3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1.9999999999999" w:type="dxa"/>
      </w:tblPr>
      <w:tblGrid>
        <w:gridCol w:w="3009"/>
        <w:gridCol w:w="3009"/>
        <w:gridCol w:w="3009"/>
      </w:tblGrid>
      <w:tr>
        <w:trPr>
          <w:trHeight w:hRule="exact" w:val="336"/>
        </w:trPr>
        <w:tc>
          <w:tcPr>
            <w:tcW w:type="dxa" w:w="273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Case </w:t>
            </w:r>
          </w:p>
        </w:tc>
        <w:tc>
          <w:tcPr>
            <w:tcW w:type="dxa" w:w="23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318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40"/>
        </w:trPr>
        <w:tc>
          <w:tcPr>
            <w:tcW w:type="dxa" w:w="27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Control </w:t>
            </w:r>
          </w:p>
        </w:tc>
        <w:tc>
          <w:tcPr>
            <w:tcW w:type="dxa" w:w="2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3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44"/>
        </w:trPr>
        <w:tc>
          <w:tcPr>
            <w:tcW w:type="dxa" w:w="273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23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318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100% </w:t>
            </w:r>
          </w:p>
        </w:tc>
      </w:tr>
    </w:tbl>
    <w:p>
      <w:pPr>
        <w:autoSpaceDN w:val="0"/>
        <w:tabs>
          <w:tab w:pos="828" w:val="left"/>
        </w:tabs>
        <w:autoSpaceDE w:val="0"/>
        <w:widowControl/>
        <w:spacing w:line="245" w:lineRule="auto" w:before="384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table 3, there are 26 case respondents with a percentage of 50% and 26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control respondents with a percentage of 50%. </w:t>
      </w:r>
    </w:p>
    <w:p>
      <w:pPr>
        <w:autoSpaceDN w:val="0"/>
        <w:tabs>
          <w:tab w:pos="828" w:val="left"/>
        </w:tabs>
        <w:autoSpaceDE w:val="0"/>
        <w:widowControl/>
        <w:spacing w:line="257" w:lineRule="auto" w:before="9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Bivariate Analysis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Bivariate analysis aims to determine the relationship between the independent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variable and the dependent variable by using statistical tests. The statistical test used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research is the Chi-Square test with a significance level of 0.05. </w:t>
      </w:r>
    </w:p>
    <w:p>
      <w:pPr>
        <w:autoSpaceDN w:val="0"/>
        <w:autoSpaceDE w:val="0"/>
        <w:widowControl/>
        <w:spacing w:line="245" w:lineRule="auto" w:before="432" w:after="48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4. The relationship between smoking status and the incidence of tuberculosis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 the working area of the Banjarejo Community Health Center, Madiun City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0.0" w:type="dxa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rPr>
          <w:trHeight w:hRule="exact" w:val="350"/>
        </w:trPr>
        <w:tc>
          <w:tcPr>
            <w:tcW w:type="dxa" w:w="14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9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Smoking </w:t>
            </w:r>
          </w:p>
        </w:tc>
        <w:tc>
          <w:tcPr>
            <w:tcW w:type="dxa" w:w="2802"/>
            <w:gridSpan w:val="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Tuberculosis incidence </w:t>
            </w:r>
          </w:p>
        </w:tc>
        <w:tc>
          <w:tcPr>
            <w:tcW w:type="dxa" w:w="1316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60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53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OR </w:t>
            </w:r>
          </w:p>
        </w:tc>
        <w:tc>
          <w:tcPr>
            <w:tcW w:type="dxa" w:w="99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48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0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Status </w:t>
            </w:r>
          </w:p>
        </w:tc>
        <w:tc>
          <w:tcPr>
            <w:tcW w:type="dxa" w:w="1284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Case </w:t>
            </w:r>
          </w:p>
        </w:tc>
        <w:tc>
          <w:tcPr>
            <w:tcW w:type="dxa" w:w="1518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Control </w:t>
            </w:r>
          </w:p>
        </w:tc>
        <w:tc>
          <w:tcPr>
            <w:tcW w:type="dxa" w:w="50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81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% </w:t>
            </w:r>
          </w:p>
        </w:tc>
        <w:tc>
          <w:tcPr>
            <w:tcW w:type="dxa" w:w="160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3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(95%CI) </w:t>
            </w:r>
          </w:p>
        </w:tc>
        <w:tc>
          <w:tcPr>
            <w:tcW w:type="dxa" w:w="998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ρ-value </w:t>
            </w:r>
          </w:p>
        </w:tc>
      </w:tr>
      <w:tr>
        <w:trPr>
          <w:trHeight w:hRule="exact" w:val="328"/>
        </w:trPr>
        <w:tc>
          <w:tcPr>
            <w:tcW w:type="dxa" w:w="1003"/>
            <w:vMerge/>
            <w:tcBorders>
              <w:top w:sz="4.0" w:val="single" w:color="#000000"/>
            </w:tcBorders>
          </w:tcPr>
          <w:p/>
        </w:tc>
        <w:tc>
          <w:tcPr>
            <w:tcW w:type="dxa" w:w="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%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8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% </w:t>
            </w:r>
          </w:p>
        </w:tc>
        <w:tc>
          <w:tcPr>
            <w:tcW w:type="dxa" w:w="1003"/>
            <w:vMerge/>
            <w:tcBorders>
              <w:top w:sz="4.0" w:val="single" w:color="#000000"/>
            </w:tcBorders>
          </w:tcPr>
          <w:p/>
        </w:tc>
        <w:tc>
          <w:tcPr>
            <w:tcW w:type="dxa" w:w="1003"/>
            <w:vMerge/>
            <w:tcBorders>
              <w:top w:sz="4.0" w:val="single" w:color="#000000"/>
            </w:tcBorders>
          </w:tcPr>
          <w:p/>
        </w:tc>
        <w:tc>
          <w:tcPr>
            <w:tcW w:type="dxa" w:w="1003"/>
            <w:vMerge/>
            <w:tcBorders>
              <w:top w:sz="4.0" w:val="single" w:color="#000000"/>
            </w:tcBorders>
          </w:tcPr>
          <w:p/>
        </w:tc>
        <w:tc>
          <w:tcPr>
            <w:tcW w:type="dxa" w:w="10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1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Smoke </w:t>
            </w:r>
          </w:p>
        </w:tc>
        <w:tc>
          <w:tcPr>
            <w:tcW w:type="dxa" w:w="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84.6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8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67.3 </w:t>
            </w:r>
          </w:p>
        </w:tc>
        <w:tc>
          <w:tcPr>
            <w:tcW w:type="dxa" w:w="1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5,500 </w:t>
            </w:r>
          </w:p>
        </w:tc>
        <w:tc>
          <w:tcPr>
            <w:tcW w:type="dxa" w:w="9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0.018 </w:t>
            </w:r>
          </w:p>
        </w:tc>
      </w:tr>
      <w:tr>
        <w:trPr>
          <w:trHeight w:hRule="exact" w:val="342"/>
        </w:trPr>
        <w:tc>
          <w:tcPr>
            <w:tcW w:type="dxa" w:w="1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3"/>
              </w:rPr>
              <w:t>Do not smoke</w:t>
            </w:r>
          </w:p>
        </w:tc>
        <w:tc>
          <w:tcPr>
            <w:tcW w:type="dxa" w:w="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15.4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8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3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32.7 </w:t>
            </w:r>
          </w:p>
        </w:tc>
        <w:tc>
          <w:tcPr>
            <w:tcW w:type="dxa" w:w="1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(1,478 - </w:t>
            </w:r>
          </w:p>
        </w:tc>
        <w:tc>
          <w:tcPr>
            <w:tcW w:type="dxa" w:w="10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42" w:after="50"/>
        <w:ind w:left="0" w:right="184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20,461)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5.99999999999994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342"/>
        </w:trPr>
        <w:tc>
          <w:tcPr>
            <w:tcW w:type="dxa" w:w="128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21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26 100.0 26 </w:t>
            </w:r>
          </w:p>
        </w:tc>
        <w:tc>
          <w:tcPr>
            <w:tcW w:type="dxa" w:w="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100.0 </w:t>
            </w:r>
          </w:p>
        </w:tc>
        <w:tc>
          <w:tcPr>
            <w:tcW w:type="dxa" w:w="5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341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100.0 </w:t>
            </w:r>
          </w:p>
        </w:tc>
      </w:tr>
    </w:tbl>
    <w:p>
      <w:pPr>
        <w:autoSpaceDN w:val="0"/>
        <w:autoSpaceDE w:val="0"/>
        <w:widowControl/>
        <w:spacing w:line="262" w:lineRule="auto" w:before="39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table 4, the results of the chi-square test between family smoking status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incidence of tuberculosis in the group of cases with family smoking status were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22 respondents with a percentage of 84.6% and respondents with non-smoking status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were 4 respondents with a percentage of 15.4%. Meanwhile, in the control group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family smoking status there were 13 respondents with a percentage of 50% and there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were 13 respondents with non-smoking status with a percentage of 50%. </w:t>
      </w:r>
    </w:p>
    <w:p>
      <w:pPr>
        <w:autoSpaceDN w:val="0"/>
        <w:autoSpaceDE w:val="0"/>
        <w:widowControl/>
        <w:spacing w:line="245" w:lineRule="auto" w:before="432" w:after="48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5. Relationship between ventilation area and the incidence of tuberculosis in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the working area of Banjarejo Health Center, Madiun City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>
        <w:trPr>
          <w:trHeight w:hRule="exact" w:val="348"/>
        </w:trPr>
        <w:tc>
          <w:tcPr>
            <w:tcW w:type="dxa" w:w="1718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94"/>
            <w:gridSpan w:val="7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Tuberculosis incidence </w:t>
            </w:r>
          </w:p>
        </w:tc>
        <w:tc>
          <w:tcPr>
            <w:tcW w:type="dxa" w:w="1306"/>
            <w:gridSpan w:val="2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0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2084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72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OR </w:t>
            </w:r>
          </w:p>
        </w:tc>
        <w:tc>
          <w:tcPr>
            <w:tcW w:type="dxa" w:w="902"/>
            <w:tcBorders>
              <w:top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718"/>
            <w:vMerge w:val="restart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Ventilation area </w:t>
            </w:r>
          </w:p>
        </w:tc>
        <w:tc>
          <w:tcPr>
            <w:tcW w:type="dxa" w:w="1360"/>
            <w:gridSpan w:val="4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Case </w:t>
            </w:r>
          </w:p>
        </w:tc>
        <w:tc>
          <w:tcPr>
            <w:tcW w:type="dxa" w:w="1134"/>
            <w:gridSpan w:val="3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Control </w:t>
            </w:r>
          </w:p>
        </w:tc>
        <w:tc>
          <w:tcPr>
            <w:tcW w:type="dxa" w:w="526"/>
            <w:vMerge w:val="restart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4" w:after="0"/>
              <w:ind w:left="0" w:right="22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780"/>
            <w:vMerge w:val="restart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% </w:t>
            </w:r>
          </w:p>
        </w:tc>
        <w:tc>
          <w:tcPr>
            <w:tcW w:type="dxa" w:w="2084"/>
            <w:vMerge w:val="restart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(95%CI) </w:t>
            </w:r>
          </w:p>
        </w:tc>
        <w:tc>
          <w:tcPr>
            <w:tcW w:type="dxa" w:w="902"/>
            <w:vMerge w:val="restart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ρ-value </w:t>
            </w:r>
          </w:p>
        </w:tc>
      </w:tr>
      <w:tr>
        <w:trPr>
          <w:trHeight w:hRule="exact" w:val="330"/>
        </w:trPr>
        <w:tc>
          <w:tcPr>
            <w:tcW w:type="dxa" w:w="752"/>
            <w:vMerge/>
            <w:tcBorders>
              <w:top w:sz="3.2000000000007276" w:val="single" w:color="#000000"/>
            </w:tcBorders>
          </w:tcPr>
          <w:p/>
        </w:tc>
        <w:tc>
          <w:tcPr>
            <w:tcW w:type="dxa" w:w="4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% </w:t>
            </w:r>
          </w:p>
        </w:tc>
        <w:tc>
          <w:tcPr>
            <w:tcW w:type="dxa" w:w="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11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36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% </w:t>
            </w:r>
          </w:p>
        </w:tc>
        <w:tc>
          <w:tcPr>
            <w:tcW w:type="dxa" w:w="752"/>
            <w:vMerge/>
            <w:tcBorders>
              <w:top w:sz="3.2000000000007276" w:val="single" w:color="#000000"/>
            </w:tcBorders>
          </w:tcPr>
          <w:p/>
        </w:tc>
        <w:tc>
          <w:tcPr>
            <w:tcW w:type="dxa" w:w="752"/>
            <w:vMerge/>
            <w:tcBorders>
              <w:top w:sz="3.2000000000007276" w:val="single" w:color="#000000"/>
            </w:tcBorders>
          </w:tcPr>
          <w:p/>
        </w:tc>
        <w:tc>
          <w:tcPr>
            <w:tcW w:type="dxa" w:w="752"/>
            <w:vMerge/>
            <w:tcBorders>
              <w:top w:sz="3.2000000000007276" w:val="single" w:color="#000000"/>
            </w:tcBorders>
          </w:tcPr>
          <w:p/>
        </w:tc>
        <w:tc>
          <w:tcPr>
            <w:tcW w:type="dxa" w:w="752"/>
            <w:vMerge/>
            <w:tcBorders>
              <w:top w:sz="3.2000000000007276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1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Not eligible </w:t>
            </w:r>
          </w:p>
        </w:tc>
        <w:tc>
          <w:tcPr>
            <w:tcW w:type="dxa" w:w="155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25 96.2 16 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61.5 </w:t>
            </w:r>
          </w:p>
        </w:tc>
        <w:tc>
          <w:tcPr>
            <w:tcW w:type="dxa" w:w="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78.8 </w:t>
            </w:r>
          </w:p>
        </w:tc>
        <w:tc>
          <w:tcPr>
            <w:tcW w:type="dxa" w:w="2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15,625 </w:t>
            </w:r>
          </w:p>
        </w:tc>
        <w:tc>
          <w:tcPr>
            <w:tcW w:type="dxa" w:w="90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0,0,07 </w:t>
            </w:r>
          </w:p>
        </w:tc>
      </w:tr>
      <w:tr>
        <w:trPr>
          <w:trHeight w:hRule="exact" w:val="280"/>
        </w:trPr>
        <w:tc>
          <w:tcPr>
            <w:tcW w:type="dxa" w:w="1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3"/>
              </w:rPr>
              <w:t>Qualify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27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3.8 10 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38.5 </w:t>
            </w:r>
          </w:p>
        </w:tc>
        <w:tc>
          <w:tcPr>
            <w:tcW w:type="dxa" w:w="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21.2 </w:t>
            </w:r>
          </w:p>
        </w:tc>
        <w:tc>
          <w:tcPr>
            <w:tcW w:type="dxa" w:w="208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(1,821 - 134,040) </w:t>
            </w:r>
          </w:p>
        </w:tc>
        <w:tc>
          <w:tcPr>
            <w:tcW w:type="dxa" w:w="752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620"/>
        </w:trPr>
        <w:tc>
          <w:tcPr>
            <w:tcW w:type="dxa" w:w="171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3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482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26 100.0 26 </w:t>
            </w:r>
          </w:p>
        </w:tc>
        <w:tc>
          <w:tcPr>
            <w:tcW w:type="dxa" w:w="1012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100.0 </w:t>
            </w:r>
          </w:p>
        </w:tc>
        <w:tc>
          <w:tcPr>
            <w:tcW w:type="dxa" w:w="1306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52 100.0 </w:t>
            </w:r>
          </w:p>
        </w:tc>
        <w:tc>
          <w:tcPr>
            <w:tcW w:type="dxa" w:w="752"/>
            <w:vMerge/>
            <w:tcBorders>
              <w:bottom w:sz="4.0" w:val="single" w:color="#000000"/>
            </w:tcBorders>
          </w:tcPr>
          <w:p/>
        </w:tc>
        <w:tc>
          <w:tcPr>
            <w:tcW w:type="dxa" w:w="752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50" w:lineRule="auto" w:before="358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table 5, the results of the chi-square test between ventilation area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incidence of tuberculosis in the group of cases with ventilation area not meeting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requirements were 25 respondents with a percentage of 92.2% and 1 respondent with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77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Volume 5, No. 9 September,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666 </w:t>
      </w:r>
    </w:p>
    <w:p>
      <w:pPr>
        <w:sectPr>
          <w:pgSz w:w="11906" w:h="16838"/>
          <w:pgMar w:top="710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1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 area meeting the requirements was 1 respondent with a percentage of 3.8%.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in the control group with ventilation area that did not meet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requirements, there were 16 respondents with a percentage of 61.5% and 10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 with ventilation area that did not meet the requirements with a percentage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38.5%. </w:t>
      </w:r>
    </w:p>
    <w:p>
      <w:pPr>
        <w:autoSpaceDN w:val="0"/>
        <w:tabs>
          <w:tab w:pos="330" w:val="left"/>
          <w:tab w:pos="690" w:val="left"/>
          <w:tab w:pos="1114" w:val="left"/>
        </w:tabs>
        <w:autoSpaceDE w:val="0"/>
        <w:widowControl/>
        <w:spacing w:line="269" w:lineRule="auto" w:before="43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Discussion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1.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The Relationship between Family Smoking Status and the Incidence of </w:t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Tuberculosis in the Working Area of the Banjarejo Community Health Center, </w:t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Madiun City </w:t>
      </w:r>
      <w:r>
        <w:br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the univariate analysis that has been carried out, it can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concluded that the frequency distribution between smoking status and the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incidence of tuberculosis in the working area of the Banjarejo Community Health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Center, Madiun City is dominated by respondents with smoking status, totaling 35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respondents, both cases and controls, with a percentage of 67.3%. Meanwhile,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were 17 respondents with non-smoking status, both cases and controls, with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percentage of 32.7%. </w:t>
      </w:r>
    </w:p>
    <w:p>
      <w:pPr>
        <w:autoSpaceDN w:val="0"/>
        <w:autoSpaceDE w:val="0"/>
        <w:widowControl/>
        <w:spacing w:line="266" w:lineRule="auto" w:before="96" w:after="0"/>
        <w:ind w:left="690" w:right="206" w:firstLine="42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based on the results of bivariate analysis using the Chi-Square test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was used to determine the relationship between smoking status variables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incidence of tuberculosis in the working area of the Banjarejo Health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Center, Madiun City, the results showed that in the case group of respondents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family history of smoking status there were 22 respondents with a percentage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84. 6%, and those with no family history of smoking status were 4 respondents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percentage of 15.4%. Meanwhile, in the control group with family smoking status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were 13 respondents with a percentage of 50% and there were 13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 with non-smoking status with a percentage of 50%. </w:t>
      </w:r>
    </w:p>
    <w:p>
      <w:pPr>
        <w:autoSpaceDN w:val="0"/>
        <w:autoSpaceDE w:val="0"/>
        <w:widowControl/>
        <w:spacing w:line="250" w:lineRule="auto" w:before="98" w:after="0"/>
        <w:ind w:left="690" w:right="208" w:firstLine="42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So, based on the calculation results, the p-value = 0.018 (p &lt; 0.05) is obtained,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means that there is a relationship between smoking status and the incidence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tuberculosis in the working area of the Banjarejo Health Center, Madiun City. </w:t>
      </w:r>
    </w:p>
    <w:p>
      <w:pPr>
        <w:autoSpaceDN w:val="0"/>
        <w:autoSpaceDE w:val="0"/>
        <w:widowControl/>
        <w:spacing w:line="264" w:lineRule="auto" w:before="98" w:after="48"/>
        <w:ind w:left="690" w:right="210" w:firstLine="42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Giacomo's theory, smoking is an important risk factor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cardiovascular disease, and is often the main cause of death worldwide related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cerebrovascular disease, lower respiratory tract infections, COPD, pulmonary TB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respiratory tract cancer. The respiratory epithelium is the main barrier against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harmful environmental agents and protects by sweeping particles out in the mucus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layer, phagocytizing and recruiting other immune cells. Smoking can directly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3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compromise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physical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barrier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integration,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increase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respiratory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epithelial </w:t>
            </w:r>
          </w:p>
        </w:tc>
      </w:tr>
    </w:tbl>
    <w:p>
      <w:pPr>
        <w:autoSpaceDN w:val="0"/>
        <w:autoSpaceDE w:val="0"/>
        <w:widowControl/>
        <w:spacing w:line="197" w:lineRule="auto" w:before="48" w:after="0"/>
        <w:ind w:left="6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permeability and impair muccociliary clearance (Giacomo M, et al, 2011). </w:t>
      </w:r>
    </w:p>
    <w:p>
      <w:pPr>
        <w:autoSpaceDN w:val="0"/>
        <w:autoSpaceDE w:val="0"/>
        <w:widowControl/>
        <w:spacing w:line="257" w:lineRule="auto" w:before="96" w:after="0"/>
        <w:ind w:left="690" w:right="214" w:firstLine="42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Smoking is an important factor that can reduce the body's immune system so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it can affect the recovery of treatment for tuberculosis sufferers. People who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smoke are more at risk of suffering from tuberculosis because of the toxic content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tar that is inhaled from cigarette smoke (Fitriani, 2014).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712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Volume 5, No. 9 September,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667 </w:t>
      </w:r>
    </w:p>
    <w:p>
      <w:pPr>
        <w:sectPr>
          <w:pgSz w:w="11906" w:h="16838"/>
          <w:pgMar w:top="732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690" w:right="208" w:firstLine="42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smoking status consists of the smoking category and smoking habits.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(Adin, 2016) The category of smokers is divided into passive smokers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active smokers. Passive and active smoking both have a bad impact on health.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Cigarette smoke is very dangerous because cigarette smoke exhaled by active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smokers and inhaled by passive smokers contains five times more carbon monoxide,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four times more tar and nicotine. </w:t>
      </w:r>
    </w:p>
    <w:p>
      <w:pPr>
        <w:autoSpaceDN w:val="0"/>
        <w:autoSpaceDE w:val="0"/>
        <w:widowControl/>
        <w:spacing w:line="264" w:lineRule="auto" w:before="96" w:after="0"/>
        <w:ind w:left="690" w:right="206" w:firstLine="42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Apart from that, bad smoking habits can also influence the smoking history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family. According to (Suparyanto and Rosad, 2020), a person's smoking habit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 be seen from the number of cigarettes smoked in one day and the length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time they consume cigarettes. The more cigarettes you smoke in one day, the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dangerous it will be for the body because the substances contained in cigarettes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cumulative (accumulated). And the longer someone consumes cigarettes, the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difficult it is to stop consuming cigarettes. </w:t>
      </w:r>
    </w:p>
    <w:p>
      <w:pPr>
        <w:autoSpaceDN w:val="0"/>
        <w:autoSpaceDE w:val="0"/>
        <w:widowControl/>
        <w:spacing w:line="266" w:lineRule="auto" w:before="98" w:after="0"/>
        <w:ind w:left="690" w:right="144" w:firstLine="42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research is in line with (Musdalifa, 2022) which suggests that there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 between smoking status and the incidence of pulmonary tuberculosis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productive age in South Sumatra Province with a p-value = 0.019 &lt; 0.05, this study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explains that the large number of cigarettes consumed can be a factor in contracting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tuberculosis. The results of this study are also in line with(Away, 2021)which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suggests that there is a relationship between smoking status and the incidence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>pulmonary TB at the Sikumana Community Health Center, Kupang City with a p-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value = 0.037 &lt; 0.05, in this study it is explained that someone with an active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smoking status can be at risk of developing tuberculosis. </w:t>
      </w:r>
    </w:p>
    <w:p>
      <w:pPr>
        <w:autoSpaceDN w:val="0"/>
        <w:autoSpaceDE w:val="0"/>
        <w:widowControl/>
        <w:spacing w:line="266" w:lineRule="auto" w:before="96" w:after="0"/>
        <w:ind w:left="690" w:right="210" w:firstLine="42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conducted by researchers, it is stated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is a relationship between smoking status and the incidence of tuberculosis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working area of the Banjarejo Community Health Center, Madiun City with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value of OR = 5,500 which explains that smoking status in the family can be a factor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contracting tuberculosis because in this study, Researchers examined active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passive smokers in the family and surrounding environment. Smoking habits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number of cigarettes consumed can also be a factor in the occurrence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tuberculosis. </w:t>
      </w:r>
    </w:p>
    <w:p>
      <w:pPr>
        <w:autoSpaceDN w:val="0"/>
        <w:tabs>
          <w:tab w:pos="686" w:val="left"/>
          <w:tab w:pos="1112" w:val="left"/>
        </w:tabs>
        <w:autoSpaceDE w:val="0"/>
        <w:widowControl/>
        <w:spacing w:line="266" w:lineRule="auto" w:before="436" w:after="0"/>
        <w:ind w:left="32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The Relationship between Ventilation Extent and the Incidence of Tuberculosis in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the Banjarejo Community Health Center Working Area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the univariate analysis that has been carried out, it can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concluded that the frequency distribution between ventilation area and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incidence of tuberculosis in the working area of the Banjarejo Community Health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Center, Madiun City is dominated by respondents with ventilation area that does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 meet the requirements, totaling 41 respondents, both cases and controls, with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percentage of 78. 8%. Meanwhile, there were 11 respondents with adequate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 area, both cases and controls, with a percentage of 21.2%.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04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Volume 5, No. 9 September,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668 </w:t>
      </w:r>
    </w:p>
    <w:p>
      <w:pPr>
        <w:sectPr>
          <w:pgSz w:w="11906" w:h="16838"/>
          <w:pgMar w:top="732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686" w:right="206" w:firstLine="42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based on the results of bivariate analysis using the Chi-Square test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was used to determine the relationship between the variable ventilation area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incidence of tuberculosis in the working area of the Banjarejo Community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Center, Madiun City, the results showed that in the case group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 whose ventilation area did not meet the requirements, there were 25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respondents with a percentage of 96 .2%, and respondents with adequate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 area were 1 respondent with a percentage of 3.8%. Meanwhile,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control group, there were 16 respondents whose ventilation area did not meet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requirements, with a percentage of 61.5%, and there were 10 respondents whose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 area met the requirements, with a percentage of 38.5%. So based on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calculation results, the p-value = 0.007 (p &lt; 0.05) is obtained, which means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is a relationship between the ventilation area and the incidence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in the working area of the Banjarejo Health Center, Madiun City. </w:t>
      </w:r>
    </w:p>
    <w:p>
      <w:pPr>
        <w:autoSpaceDN w:val="0"/>
        <w:autoSpaceDE w:val="0"/>
        <w:widowControl/>
        <w:spacing w:line="257" w:lineRule="auto" w:before="98" w:after="0"/>
        <w:ind w:left="686" w:right="208" w:firstLine="42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 functions as a place for air exchange in a room to keep the air flow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room fresh. According to (Ministry of Health, 2023) namely the ventilation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area that covers 10% - 15% of the floor area. Therefore, a healthy home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environment must receive sufficient sunlight and have adequate ventilation. </w:t>
      </w:r>
    </w:p>
    <w:p>
      <w:pPr>
        <w:autoSpaceDN w:val="0"/>
        <w:autoSpaceDE w:val="0"/>
        <w:widowControl/>
        <w:spacing w:line="264" w:lineRule="auto" w:before="96" w:after="0"/>
        <w:ind w:left="686" w:right="208" w:firstLine="42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according to (Saputri, 2022) which refers to the Health Service's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2007 Healthy Home Assessment Technical Guidelines so that the indoor air is fresh,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technical requirements for ventilation and windows are that ventilation holes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remain at a minimum of 5% of the floor area and the incidental ventilation area (can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opened and closed) is a minimum of 5% of the floor area, The minimum window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height is 80 cm from the floor, the air that enters is clean air, and the air flow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ensured not to be obstructed by household furniture. </w:t>
      </w:r>
    </w:p>
    <w:p>
      <w:pPr>
        <w:autoSpaceDN w:val="0"/>
        <w:autoSpaceDE w:val="0"/>
        <w:widowControl/>
        <w:spacing w:line="269" w:lineRule="auto" w:before="96" w:after="0"/>
        <w:ind w:left="686" w:right="206" w:firstLine="42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research is in line with (Khairani et al., 2020) which states that there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 between the area of house ventilation and the incidence of pulmonary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TB in adult patients visiting the Karang Jaya Community Health Center, North Muisi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Rawas Regency with a p-value = 0.027 &lt; 0.05, in this study it states that poor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 area can be a factor contracted tuberculosis. The results of this study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also in line with (Sahadewa, 2019) which also explained that there was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 between ventilation and risk factors for the incidence of BTA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pulmonary TB in Jatikalang Village, Krian District, Sidoarjo Regency with p-value =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0.006 &lt; 0.05, in this study it was stated that poor ventilation could be a factor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contracting tuberculosis. </w:t>
      </w:r>
    </w:p>
    <w:p>
      <w:pPr>
        <w:autoSpaceDN w:val="0"/>
        <w:autoSpaceDE w:val="0"/>
        <w:widowControl/>
        <w:spacing w:line="262" w:lineRule="auto" w:before="98" w:after="0"/>
        <w:ind w:left="686" w:right="212" w:firstLine="42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conducted by researchers, it is stated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is a relationship between ventilation area and the incidence of tuberculosis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working area of the Banjarejo Health Center, Madiun City with an OR value =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15.625, which shows that respondents with poor ventilation area are at 15.625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greater risk of contracting tuberculosis compared to respondents with poor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ventilation. has good ventilation area.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04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Volume 5, No. 9 September,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669 </w:t>
      </w:r>
    </w:p>
    <w:p>
      <w:pPr>
        <w:sectPr>
          <w:pgSz w:w="11906" w:h="16838"/>
          <w:pgMar w:top="732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686" w:right="144" w:firstLine="42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Poor ventilation in the respondent's house was caused by the narrow area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house and the rooms being close to each other, making it impossible to provide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 in the room where they gathered. The respondent's home area is also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densely populated area so that the space between houses does not have a large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enough area. Apart from that, poor ventilation can also be caused by ventilation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is not opened or cannot provide access for air in and out, only as a source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natural lighting. </w:t>
      </w:r>
    </w:p>
    <w:p>
      <w:pPr>
        <w:autoSpaceDN w:val="0"/>
        <w:tabs>
          <w:tab w:pos="828" w:val="left"/>
        </w:tabs>
        <w:autoSpaceDE w:val="0"/>
        <w:widowControl/>
        <w:spacing w:line="271" w:lineRule="auto" w:before="43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research on the relationship between family smoking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status and ventilation area with the incidence of tuberculosis in the work area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Banjarejo Community Health Center, Madiun City, it can be concluded that the majority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respondents have a history of family smoking status and ventilation area that does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 meet the requirements. This research shows that there is a relationship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family smoking status and ventilation area with the incidence of tuberculosis in the area.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a suggestion, for the Banjarejo Community Health Center, health workers are advised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provide education about the dangers of smoking, keeping the house clean, and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importance of opening and closing windows regularly. For Stikes Bhakti Husada Mulia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Madiun, it is hoped that the results of this research will become study material for future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researchers and become a reference regarding tuberculosis. For the public, it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recommended to pay attention to the physical condition of the house, especially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ventilation, by regularly opening windows to let sunlight in, which will help reduce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humidity and prevent the spread of tuberculosis. </w:t>
      </w:r>
    </w:p>
    <w:p>
      <w:pPr>
        <w:autoSpaceDN w:val="0"/>
        <w:autoSpaceDE w:val="0"/>
        <w:widowControl/>
        <w:spacing w:line="197" w:lineRule="auto" w:before="43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 </w:t>
      </w:r>
    </w:p>
    <w:p>
      <w:pPr>
        <w:autoSpaceDN w:val="0"/>
        <w:autoSpaceDE w:val="0"/>
        <w:widowControl/>
        <w:spacing w:line="245" w:lineRule="auto" w:before="434" w:after="0"/>
        <w:ind w:left="742" w:right="21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Adin, V. (2016). The Relationship between Parental Smoking Status and the Smoking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Behavior of Male Civil Engineering Students at Muhammadiyah University,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Yogyakarta. Yogyakarta Muhammadiyah University, Mahyudi 2009, 10.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26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Http://Repository.Umy.Ac.Id/Handle/123456789/2699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Madiun City PP and KB Health Service. (2022). Madiun City Health Profile in 2021.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2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Madiun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City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Health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and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Family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Planning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Service,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1–235.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0"/>
        <w:ind w:left="262" w:right="1152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Https://Core.Ac.Uk/Download/Pdf/286339233.Pdf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East Java Provincial Health Service. (2022). East Java Province Health Profile. </w:t>
      </w:r>
    </w:p>
    <w:p>
      <w:pPr>
        <w:autoSpaceDN w:val="0"/>
        <w:autoSpaceDE w:val="0"/>
        <w:widowControl/>
        <w:spacing w:line="245" w:lineRule="auto" w:before="52" w:after="0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Fitriani, E. (2014). Risk Factors Associated with the Incidence of Pulmonary Tuberculosis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(Case Study at the Community Health Center, Brebes Regency). Unnes Journal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 Health, 2(1). </w:t>
      </w:r>
    </w:p>
    <w:p>
      <w:pPr>
        <w:autoSpaceDN w:val="0"/>
        <w:autoSpaceDE w:val="0"/>
        <w:widowControl/>
        <w:spacing w:line="197" w:lineRule="auto" w:before="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Giacomo M, Davidson PM, Penelope A, Abbott P, Davison P, Moore L, Et Al. (2011). </w:t>
      </w:r>
    </w:p>
    <w:p>
      <w:pPr>
        <w:autoSpaceDN w:val="0"/>
        <w:autoSpaceDE w:val="0"/>
        <w:widowControl/>
        <w:spacing w:line="245" w:lineRule="auto" w:before="52" w:after="0"/>
        <w:ind w:left="742" w:right="21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Smoking Cessation In Indigenous Populations Of Australia, New Zealand, Canada,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United States: Elements Of Effective Interventions. Environment 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 Health. </w:t>
      </w:r>
    </w:p>
    <w:p>
      <w:pPr>
        <w:autoSpaceDN w:val="0"/>
        <w:autoSpaceDE w:val="0"/>
        <w:widowControl/>
        <w:spacing w:line="197" w:lineRule="auto" w:before="54" w:after="26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Indonesian Ministry of Health. (2020). National Guidelines for Tuberculosis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63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3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Medical 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Services.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5(1),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4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1689–1699. </w:t>
            </w:r>
          </w:p>
        </w:tc>
      </w:tr>
      <w:tr>
        <w:trPr>
          <w:trHeight w:hRule="exact" w:val="576"/>
        </w:trPr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Volume 5, No. 9 September, 2024 </w:t>
            </w:r>
          </w:p>
        </w:tc>
        <w:tc>
          <w:tcPr>
            <w:tcW w:type="dxa" w:w="1805"/>
            <w:vMerge/>
            <w:tcBorders/>
          </w:tcPr>
          <w:p/>
        </w:tc>
        <w:tc>
          <w:tcPr>
            <w:tcW w:type="dxa" w:w="180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32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tabs>
          <w:tab w:pos="742" w:val="left"/>
        </w:tabs>
        <w:autoSpaceDE w:val="0"/>
        <w:widowControl/>
        <w:spacing w:line="245" w:lineRule="auto" w:before="0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Https://Revistas.Ufrj.Br/Index.Php/Rce/Article/Download/1659/1508%0Ahttp://H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ipatiapress.Com/Hpjournals/Index.Php/Qre/Article/View/1348%5Cnhttp://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Www.Tandfonline.Com/Doi/Abs/10.1080/09500799708666915%5Cnhttps://Mcki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nseyonsociety.Com/Downloads/Reports/Educa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Ministry of Health. (2023). Regulation of the Minister of Health of the Republic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Number 2 of 2023. Ministry of Health of the Republic of Indonesia,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151(2), Page 10-17. </w:t>
      </w:r>
    </w:p>
    <w:p>
      <w:pPr>
        <w:autoSpaceDN w:val="0"/>
        <w:autoSpaceDE w:val="0"/>
        <w:widowControl/>
        <w:spacing w:line="245" w:lineRule="auto" w:before="52" w:after="0"/>
        <w:ind w:left="742" w:right="21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Khairani, N., Effendi, SU, &amp; Izhar, I. (2020). The Relationship between Residential Density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House Ventilation with the Incidence of Pulmonary TB in Adult Patients. Chmk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Journal, 4(April), 140–148. </w:t>
      </w:r>
    </w:p>
    <w:p>
      <w:pPr>
        <w:autoSpaceDN w:val="0"/>
        <w:autoSpaceDE w:val="0"/>
        <w:widowControl/>
        <w:spacing w:line="245" w:lineRule="auto" w:before="56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Musdalifa, RA (2022). The Relationship of Smoking Status and Home Environmental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Factors on The Incidence of Pulmonary Tuberculosis in Productive Age (15-50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Years) In South Sumatra Province (2018 Riskesdas Data Analysis).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Najiyah. (2022). The Relationship Between Physical Conditions of Houses and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Incidence of Pulmonary Tuberculosis in the Working Area of the Mandirancang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Community Health Center, Kuningan Regency. 8.5.2017, 2003–2005. Www.Aging-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Us.Com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Rosyid, M. (2023). The Relationship of The Physical Condition of The House and Smoking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Habits with The Incident of Tuberculosis In The Working Area Of The Banjarejo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Center, Madiun City. 11(2), 76–94.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Sahadeva, S. (2019). The relationship between lighting levels, air humidity and air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ventilation with risk factors for the incidence of positive smear pulmonary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tuberculosis in Jatikalang Village, Krian District, Sidoarjo Regency. Wijaya Kusuma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Medical Scientific Journal, 8(2), 118–130. https://Doi.Org/10.30742/Jikw.V8i2.617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Saputri, SAW (2022). Description of Settlement Sanitation in Kamongan Srumbung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Hamlet, Magelang in 2021. Doctoral Dissertation, Poltekkes Kemenkes Yogyakarta,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1, 2013–2015.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Suparyanto and Rosad. (2020). Strengthening the Internal Quality of Cholesterol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Examination. Suparyanto and Rosad (2015, 5(3), 248–253. </w:t>
      </w:r>
    </w:p>
    <w:p>
      <w:pPr>
        <w:autoSpaceDN w:val="0"/>
        <w:autoSpaceDE w:val="0"/>
        <w:widowControl/>
        <w:spacing w:line="245" w:lineRule="auto" w:before="54" w:after="0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Tandang, F. (2021). The Relationship between Smoking Habits in Active and Passive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Smokers with the Incidence of Pulmonary Tuberculosis in the Sikumana Community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Center, Kupang City. Cendana Medical Journal, Nusa Cendana University,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15(3), 382–390. </w:t>
      </w:r>
    </w:p>
    <w:p>
      <w:pPr>
        <w:autoSpaceDN w:val="0"/>
        <w:autoSpaceDE w:val="0"/>
        <w:widowControl/>
        <w:spacing w:line="245" w:lineRule="auto" w:before="430" w:after="0"/>
        <w:ind w:left="720" w:right="72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Copyright Holder: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Irma Dwi Khoirun Nisak, Zaenal Abidin, and Karina Nur Ramadanintyas</w:t>
      </w:r>
      <w:r>
        <w:rPr>
          <w:rFonts w:ascii="Calibri" w:hAnsi="Calibri" w:eastAsia="Calibri"/>
          <w:b w:val="0"/>
          <w:i w:val="0"/>
          <w:color w:val="000000"/>
          <w:sz w:val="22"/>
        </w:rPr>
        <w:t>(2024)</w:t>
      </w:r>
    </w:p>
    <w:p>
      <w:pPr>
        <w:autoSpaceDN w:val="0"/>
        <w:autoSpaceDE w:val="0"/>
        <w:widowControl/>
        <w:spacing w:line="245" w:lineRule="auto" w:before="316" w:after="0"/>
        <w:ind w:left="3312" w:right="331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First Publication Rights: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Journal of Health Science </w:t>
      </w:r>
    </w:p>
    <w:p>
      <w:pPr>
        <w:autoSpaceDN w:val="0"/>
        <w:autoSpaceDE w:val="0"/>
        <w:widowControl/>
        <w:spacing w:line="197" w:lineRule="auto" w:before="3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article is licensed under: </w:t>
      </w:r>
    </w:p>
    <w:p>
      <w:pPr>
        <w:autoSpaceDN w:val="0"/>
        <w:autoSpaceDE w:val="0"/>
        <w:widowControl/>
        <w:spacing w:line="240" w:lineRule="auto" w:before="2" w:after="4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38200" cy="295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90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3"/>
        <w:gridCol w:w="4513"/>
      </w:tblGrid>
      <w:tr>
        <w:trPr>
          <w:trHeight w:hRule="exact" w:val="1950"/>
        </w:trPr>
        <w:tc>
          <w:tcPr>
            <w:tcW w:type="dxa" w:w="8800"/>
            <w:gridSpan w:val="2"/>
            <w:tcBorders>
              <w:top w:sz="6.4000000000005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37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Volume 5, No. 9 September, 2024 </w:t>
            </w:r>
          </w:p>
        </w:tc>
        <w:tc>
          <w:tcPr>
            <w:tcW w:type="dxa" w:w="5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3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36"/>
        <w:ind w:left="0" w:right="0"/>
      </w:pPr>
    </w:p>
    <w:p>
      <w:pPr>
        <w:autoSpaceDN w:val="0"/>
        <w:tabs>
          <w:tab w:pos="8434" w:val="left"/>
        </w:tabs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Volume 5, No. 9 September,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672 </w:t>
      </w:r>
    </w:p>
    <w:sectPr w:rsidR="00FC693F" w:rsidRPr="0006063C" w:rsidSect="00034616">
      <w:pgSz w:w="11906" w:h="16838"/>
      <w:pgMar w:top="1440" w:right="1440" w:bottom="36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