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5B677">
      <w:pPr>
        <w:pStyle w:val="2"/>
        <w:rPr>
          <w:color w:val="auto"/>
        </w:rPr>
      </w:pPr>
      <w:bookmarkStart w:id="0" w:name="工科创ii风光储系统设计课程项目2"/>
      <w:r>
        <w:rPr>
          <w:rFonts w:hint="eastAsia"/>
          <w:color w:val="auto"/>
        </w:rPr>
        <w:t>《工科创II：风光储系统设计》课程项目2</w:t>
      </w:r>
    </w:p>
    <w:p w14:paraId="15BB9078">
      <w:pPr>
        <w:pStyle w:val="4"/>
        <w:rPr>
          <w:color w:val="auto"/>
        </w:rPr>
      </w:pPr>
      <w:bookmarkStart w:id="1" w:name="含电动汽车充电的家庭光伏储能系统全年仿真与容量设计"/>
      <w:r>
        <w:rPr>
          <w:rFonts w:hint="eastAsia"/>
          <w:color w:val="auto"/>
        </w:rPr>
        <w:t>——含电动汽车充电的家庭光伏储能系统全年仿真与容量设计</w:t>
      </w:r>
    </w:p>
    <w:bookmarkEnd w:id="1"/>
    <w:p w14:paraId="57A1F82D">
      <w:pPr>
        <w:pStyle w:val="4"/>
        <w:rPr>
          <w:color w:val="auto"/>
        </w:rPr>
      </w:pPr>
      <w:bookmarkStart w:id="2" w:name="一项目背景与系统参数设定"/>
      <w:r>
        <w:rPr>
          <w:rFonts w:hint="eastAsia"/>
          <w:color w:val="auto"/>
        </w:rPr>
        <w:t>一、项目背景与系统参数设定</w:t>
      </w:r>
    </w:p>
    <w:p w14:paraId="7BBAB31B">
      <w:pPr>
        <w:pStyle w:val="5"/>
        <w:rPr>
          <w:color w:val="auto"/>
        </w:rPr>
      </w:pPr>
      <w:bookmarkStart w:id="3" w:name="项目背景"/>
      <w:r>
        <w:rPr>
          <w:color w:val="auto"/>
        </w:rPr>
        <w:t xml:space="preserve">1.1 </w:t>
      </w:r>
      <w:r>
        <w:rPr>
          <w:rFonts w:hint="eastAsia"/>
          <w:color w:val="auto"/>
        </w:rPr>
        <w:t>项目背景</w:t>
      </w:r>
    </w:p>
    <w:p w14:paraId="44760E11">
      <w:pPr>
        <w:pStyle w:val="27"/>
      </w:pPr>
      <w:r>
        <w:rPr>
          <w:rFonts w:hint="eastAsia"/>
        </w:rPr>
        <w:t>本项目针对已安装屋顶光伏系统的独立住宅，在新增纯电动汽车（EV）的场景下，构建”光伏-储能-电动汽车-电网”耦合系统模型，对全年运行过程进行时序仿真与优化分析。由于光伏出力具有明显的波动性与间歇性，而家庭负荷及EV充电需求具有强烈的时间集中性，两者之间存在显著的时空错配问题。</w:t>
      </w:r>
    </w:p>
    <w:p w14:paraId="00067460">
      <w:pPr>
        <w:pStyle w:val="3"/>
      </w:pPr>
      <w:r>
        <w:rPr>
          <w:rFonts w:hint="eastAsia"/>
        </w:rPr>
        <w:t>为提升光伏自发自用比例并降低用电成本，本文通过构建全年15</w:t>
      </w:r>
      <w:r>
        <w:t xml:space="preserve"> </w:t>
      </w:r>
      <w:r>
        <w:rPr>
          <w:rFonts w:hint="eastAsia"/>
        </w:rPr>
        <w:t>min分辨率时序数据模型，并采用储能系统进行能量调节。同时，通过网格搜索方法对储能容量与额定功率进行双参数优化，并设计多种能量管理策略（EMS）进行对比分析。</w:t>
      </w:r>
    </w:p>
    <w:bookmarkEnd w:id="3"/>
    <w:p w14:paraId="12AB4452">
      <w:pPr>
        <w:pStyle w:val="5"/>
        <w:rPr>
          <w:color w:val="auto"/>
        </w:rPr>
      </w:pPr>
      <w:bookmarkStart w:id="4" w:name="系统参数设定"/>
      <w:r>
        <w:rPr>
          <w:color w:val="auto"/>
        </w:rPr>
        <w:t xml:space="preserve">1.2 </w:t>
      </w:r>
      <w:r>
        <w:rPr>
          <w:rFonts w:hint="eastAsia"/>
          <w:color w:val="auto"/>
        </w:rPr>
        <w:t>系统参数设定</w:t>
      </w:r>
    </w:p>
    <w:p w14:paraId="4F68AF2B">
      <w:pPr>
        <w:pStyle w:val="27"/>
      </w:pPr>
      <w:r>
        <w:rPr>
          <w:rFonts w:hint="eastAsia"/>
        </w:rPr>
        <w:t>本项目的核心参数设定基于项目1的结果和实际调研，如表1所示。</w:t>
      </w:r>
    </w:p>
    <w:p w14:paraId="7E14E0A6">
      <w:pPr>
        <w:pStyle w:val="3"/>
      </w:pPr>
      <w:r>
        <w:rPr>
          <w:rFonts w:hint="eastAsia"/>
          <w:b/>
          <w:bCs/>
        </w:rPr>
        <w:t>表1：微电网系统核心参数设定表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236"/>
        <w:gridCol w:w="1853"/>
        <w:gridCol w:w="1236"/>
        <w:gridCol w:w="2678"/>
      </w:tblGrid>
      <w:tr w14:paraId="15A2B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1FB3ABE">
            <w:pPr>
              <w:pStyle w:val="28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1105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E093702">
            <w:pPr>
              <w:pStyle w:val="28"/>
            </w:pPr>
            <w:r>
              <w:rPr>
                <w:rFonts w:hint="eastAsia"/>
              </w:rPr>
              <w:t>符号</w:t>
            </w:r>
          </w:p>
        </w:tc>
        <w:tc>
          <w:tcPr>
            <w:tcW w:w="165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90131B">
            <w:pPr>
              <w:pStyle w:val="28"/>
            </w:pPr>
            <w:r>
              <w:rPr>
                <w:rFonts w:hint="eastAsia"/>
              </w:rPr>
              <w:t>设定数值</w:t>
            </w:r>
          </w:p>
        </w:tc>
        <w:tc>
          <w:tcPr>
            <w:tcW w:w="1105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39D94F">
            <w:pPr>
              <w:pStyle w:val="28"/>
            </w:pPr>
            <w:r>
              <w:rPr>
                <w:rFonts w:hint="eastAsia"/>
              </w:rPr>
              <w:t>单位</w:t>
            </w:r>
          </w:p>
        </w:tc>
        <w:tc>
          <w:tcPr>
            <w:tcW w:w="239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52981E">
            <w:pPr>
              <w:pStyle w:val="28"/>
            </w:pPr>
            <w:r>
              <w:rPr>
                <w:rFonts w:hint="eastAsia"/>
              </w:rPr>
              <w:t>依据/来源说明</w:t>
            </w:r>
          </w:p>
        </w:tc>
      </w:tr>
      <w:tr w14:paraId="66638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1D62DD1D">
            <w:pPr>
              <w:pStyle w:val="28"/>
            </w:pPr>
            <w:r>
              <w:rPr>
                <w:rFonts w:hint="eastAsia"/>
              </w:rPr>
              <w:t>光伏峰值装机容量</w:t>
            </w:r>
          </w:p>
        </w:tc>
        <w:tc>
          <w:tcPr>
            <w:tcW w:w="1105" w:type="dxa"/>
          </w:tcPr>
          <w:p w14:paraId="74C95994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pv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</w:rPr>
                      <m:t>rated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6B7E7DDF">
            <w:pPr>
              <w:pStyle w:val="28"/>
            </w:pPr>
            <w:r>
              <w:t>14</w:t>
            </w:r>
          </w:p>
        </w:tc>
        <w:tc>
          <w:tcPr>
            <w:tcW w:w="1105" w:type="dxa"/>
          </w:tcPr>
          <w:p w14:paraId="6EAFBEA2">
            <w:pPr>
              <w:pStyle w:val="28"/>
            </w:pPr>
            <w:r>
              <w:t>kWp</w:t>
            </w:r>
          </w:p>
        </w:tc>
        <w:tc>
          <w:tcPr>
            <w:tcW w:w="2394" w:type="dxa"/>
          </w:tcPr>
          <w:p w14:paraId="673138F9">
            <w:pPr>
              <w:pStyle w:val="28"/>
            </w:pPr>
            <w:r>
              <w:rPr>
                <w:rFonts w:hint="eastAsia"/>
              </w:rPr>
              <w:t>继承项目1计算结果</w:t>
            </w:r>
          </w:p>
        </w:tc>
      </w:tr>
      <w:tr w14:paraId="36E10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132B680B">
            <w:pPr>
              <w:pStyle w:val="28"/>
            </w:pPr>
            <w:r>
              <w:rPr>
                <w:rFonts w:hint="eastAsia"/>
              </w:rPr>
              <w:t>基础日均用电量目标</w:t>
            </w:r>
          </w:p>
        </w:tc>
        <w:tc>
          <w:tcPr>
            <w:tcW w:w="1105" w:type="dxa"/>
          </w:tcPr>
          <w:p w14:paraId="0343206D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load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</w:rPr>
                      <m:t>day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413FB271">
            <w:pPr>
              <w:pStyle w:val="28"/>
            </w:pPr>
            <w:r>
              <w:t>16</w:t>
            </w:r>
          </w:p>
        </w:tc>
        <w:tc>
          <w:tcPr>
            <w:tcW w:w="1105" w:type="dxa"/>
          </w:tcPr>
          <w:p w14:paraId="43AD5F69">
            <w:pPr>
              <w:pStyle w:val="28"/>
            </w:pPr>
            <w:r>
              <w:t>kWh/day</w:t>
            </w:r>
          </w:p>
        </w:tc>
        <w:tc>
          <w:tcPr>
            <w:tcW w:w="2394" w:type="dxa"/>
          </w:tcPr>
          <w:p w14:paraId="6D321F20">
            <w:pPr>
              <w:pStyle w:val="28"/>
            </w:pPr>
            <w:r>
              <w:rPr>
                <w:rFonts w:hint="eastAsia"/>
              </w:rPr>
              <w:t>继承项目1估算结果</w:t>
            </w:r>
          </w:p>
        </w:tc>
      </w:tr>
      <w:tr w14:paraId="30600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712E21C4">
            <w:pPr>
              <w:pStyle w:val="28"/>
            </w:pPr>
            <w:r>
              <w:rPr>
                <w:rFonts w:hint="eastAsia"/>
              </w:rPr>
              <w:t>EV电池容量</w:t>
            </w:r>
          </w:p>
        </w:tc>
        <w:tc>
          <w:tcPr>
            <w:tcW w:w="1105" w:type="dxa"/>
          </w:tcPr>
          <w:p w14:paraId="11D24927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ev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</w:rPr>
                      <m:t>bat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4B4D14D7">
            <w:pPr>
              <w:pStyle w:val="28"/>
            </w:pPr>
            <w:r>
              <w:t>60</w:t>
            </w:r>
          </w:p>
        </w:tc>
        <w:tc>
          <w:tcPr>
            <w:tcW w:w="1105" w:type="dxa"/>
          </w:tcPr>
          <w:p w14:paraId="6725545E">
            <w:pPr>
              <w:pStyle w:val="28"/>
            </w:pPr>
            <w:r>
              <w:t>kWh</w:t>
            </w:r>
          </w:p>
        </w:tc>
        <w:tc>
          <w:tcPr>
            <w:tcW w:w="2394" w:type="dxa"/>
          </w:tcPr>
          <w:p w14:paraId="1E22994E">
            <w:pPr>
              <w:pStyle w:val="28"/>
            </w:pPr>
            <w:r>
              <w:rPr>
                <w:rFonts w:hint="eastAsia"/>
              </w:rPr>
              <w:t>典型家用轿车（如Model</w:t>
            </w:r>
            <w:r>
              <w:t xml:space="preserve"> </w:t>
            </w:r>
            <w:r>
              <w:rPr>
                <w:rFonts w:hint="eastAsia"/>
              </w:rPr>
              <w:t>3标准续航版）</w:t>
            </w:r>
          </w:p>
        </w:tc>
      </w:tr>
      <w:tr w14:paraId="0325C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6E406511">
            <w:pPr>
              <w:pStyle w:val="28"/>
            </w:pPr>
            <w:r>
              <w:rPr>
                <w:rFonts w:hint="eastAsia"/>
              </w:rPr>
              <w:t>EV日均通勤里程</w:t>
            </w:r>
          </w:p>
        </w:tc>
        <w:tc>
          <w:tcPr>
            <w:tcW w:w="1105" w:type="dxa"/>
          </w:tcPr>
          <w:p w14:paraId="37722C85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ev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3222C129">
            <w:pPr>
              <w:pStyle w:val="28"/>
            </w:pPr>
            <w:r>
              <w:t>30</w:t>
            </w:r>
          </w:p>
        </w:tc>
        <w:tc>
          <w:tcPr>
            <w:tcW w:w="1105" w:type="dxa"/>
          </w:tcPr>
          <w:p w14:paraId="7A59095F">
            <w:pPr>
              <w:pStyle w:val="28"/>
            </w:pPr>
            <w:r>
              <w:t>km</w:t>
            </w:r>
          </w:p>
        </w:tc>
        <w:tc>
          <w:tcPr>
            <w:tcW w:w="2394" w:type="dxa"/>
          </w:tcPr>
          <w:p w14:paraId="44C98CA7">
            <w:pPr>
              <w:pStyle w:val="28"/>
            </w:pPr>
            <w:r>
              <w:rPr>
                <w:rFonts w:hint="eastAsia"/>
              </w:rPr>
              <w:t>城市通勤典型值</w:t>
            </w:r>
          </w:p>
        </w:tc>
      </w:tr>
      <w:tr w14:paraId="1688D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5B83C477">
            <w:pPr>
              <w:pStyle w:val="28"/>
            </w:pPr>
            <w:r>
              <w:rPr>
                <w:rFonts w:hint="eastAsia"/>
              </w:rPr>
              <w:t>EV单位里程耗电</w:t>
            </w:r>
          </w:p>
        </w:tc>
        <w:tc>
          <w:tcPr>
            <w:tcW w:w="1105" w:type="dxa"/>
          </w:tcPr>
          <w:p w14:paraId="6914E3AB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ev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616F112D">
            <w:pPr>
              <w:pStyle w:val="28"/>
            </w:pPr>
            <w:r>
              <w:t>0.15</w:t>
            </w:r>
          </w:p>
        </w:tc>
        <w:tc>
          <w:tcPr>
            <w:tcW w:w="1105" w:type="dxa"/>
          </w:tcPr>
          <w:p w14:paraId="7CF2E76D">
            <w:pPr>
              <w:pStyle w:val="28"/>
            </w:pPr>
            <w:r>
              <w:t>kWh/km</w:t>
            </w:r>
          </w:p>
        </w:tc>
        <w:tc>
          <w:tcPr>
            <w:tcW w:w="2394" w:type="dxa"/>
          </w:tcPr>
          <w:p w14:paraId="0DA53903">
            <w:pPr>
              <w:pStyle w:val="28"/>
            </w:pPr>
            <w:r>
              <w:rPr>
                <w:rFonts w:hint="eastAsia"/>
              </w:rPr>
              <w:t>典型纯电动汽车能耗水平</w:t>
            </w:r>
          </w:p>
        </w:tc>
      </w:tr>
      <w:tr w14:paraId="2FB44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1AC6A213">
            <w:pPr>
              <w:pStyle w:val="28"/>
            </w:pPr>
            <w:r>
              <w:rPr>
                <w:rFonts w:hint="eastAsia"/>
              </w:rPr>
              <w:t>交流充电桩额定功率</w:t>
            </w:r>
          </w:p>
        </w:tc>
        <w:tc>
          <w:tcPr>
            <w:tcW w:w="1105" w:type="dxa"/>
          </w:tcPr>
          <w:p w14:paraId="51447C68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ev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</w:rPr>
                      <m:t>ch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4B6582E3">
            <w:pPr>
              <w:pStyle w:val="28"/>
            </w:pPr>
            <w:r>
              <w:t>7</w:t>
            </w:r>
          </w:p>
        </w:tc>
        <w:tc>
          <w:tcPr>
            <w:tcW w:w="1105" w:type="dxa"/>
          </w:tcPr>
          <w:p w14:paraId="105B27E4">
            <w:pPr>
              <w:pStyle w:val="28"/>
            </w:pPr>
            <w:r>
              <w:t>kW</w:t>
            </w:r>
          </w:p>
        </w:tc>
        <w:tc>
          <w:tcPr>
            <w:tcW w:w="2394" w:type="dxa"/>
          </w:tcPr>
          <w:p w14:paraId="14161F1C">
            <w:pPr>
              <w:pStyle w:val="28"/>
            </w:pPr>
            <w:r>
              <w:rPr>
                <w:rFonts w:hint="eastAsia"/>
              </w:rPr>
              <w:t>家用单相交流桩常见规格</w:t>
            </w:r>
          </w:p>
        </w:tc>
      </w:tr>
      <w:tr w14:paraId="446F9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313CCF4D">
            <w:pPr>
              <w:pStyle w:val="28"/>
            </w:pPr>
            <w:r>
              <w:rPr>
                <w:rFonts w:hint="eastAsia"/>
              </w:rPr>
              <w:t>EV开始充电时间</w:t>
            </w:r>
          </w:p>
        </w:tc>
        <w:tc>
          <w:tcPr>
            <w:tcW w:w="1105" w:type="dxa"/>
          </w:tcPr>
          <w:p w14:paraId="04E98522">
            <w:pPr>
              <w:pStyle w:val="28"/>
            </w:pPr>
          </w:p>
        </w:tc>
        <w:tc>
          <w:tcPr>
            <w:tcW w:w="1657" w:type="dxa"/>
          </w:tcPr>
          <w:p w14:paraId="0DA519C2">
            <w:pPr>
              <w:pStyle w:val="28"/>
            </w:pPr>
            <w:r>
              <w:t>19:00</w:t>
            </w:r>
          </w:p>
        </w:tc>
        <w:tc>
          <w:tcPr>
            <w:tcW w:w="1105" w:type="dxa"/>
          </w:tcPr>
          <w:p w14:paraId="11D9E7FE">
            <w:pPr>
              <w:pStyle w:val="28"/>
            </w:pPr>
            <w:r>
              <w:t>-</w:t>
            </w:r>
          </w:p>
        </w:tc>
        <w:tc>
          <w:tcPr>
            <w:tcW w:w="2394" w:type="dxa"/>
          </w:tcPr>
          <w:p w14:paraId="6FA5BDCF">
            <w:pPr>
              <w:pStyle w:val="28"/>
            </w:pPr>
            <w:r>
              <w:rPr>
                <w:rFonts w:hint="eastAsia"/>
              </w:rPr>
              <w:t>贴近真实下班归家习惯设定</w:t>
            </w:r>
          </w:p>
        </w:tc>
      </w:tr>
      <w:tr w14:paraId="7B29C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0777A5BA">
            <w:pPr>
              <w:pStyle w:val="28"/>
            </w:pPr>
            <w:r>
              <w:rPr>
                <w:rFonts w:hint="eastAsia"/>
              </w:rPr>
              <w:t>储能单程充放电效率</w:t>
            </w:r>
          </w:p>
        </w:tc>
        <w:tc>
          <w:tcPr>
            <w:tcW w:w="1105" w:type="dxa"/>
          </w:tcPr>
          <w:p w14:paraId="141D7DFB">
            <w:pPr>
              <w:pStyle w:val="28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η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bat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4A76BC82">
            <w:pPr>
              <w:pStyle w:val="28"/>
            </w:pPr>
            <w:r>
              <w:t>0.90</w:t>
            </w:r>
          </w:p>
        </w:tc>
        <w:tc>
          <w:tcPr>
            <w:tcW w:w="1105" w:type="dxa"/>
          </w:tcPr>
          <w:p w14:paraId="482A9527">
            <w:pPr>
              <w:pStyle w:val="28"/>
            </w:pPr>
            <w:r>
              <w:t>-</w:t>
            </w:r>
          </w:p>
        </w:tc>
        <w:tc>
          <w:tcPr>
            <w:tcW w:w="2394" w:type="dxa"/>
          </w:tcPr>
          <w:p w14:paraId="24A8CF6A">
            <w:pPr>
              <w:pStyle w:val="28"/>
            </w:pPr>
            <w:r>
              <w:rPr>
                <w:rFonts w:hint="eastAsia"/>
              </w:rPr>
              <w:t>磷酸铁锂电池典型参数</w:t>
            </w:r>
          </w:p>
        </w:tc>
      </w:tr>
      <w:tr w14:paraId="3B978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0D74D8B2">
            <w:pPr>
              <w:pStyle w:val="28"/>
            </w:pPr>
            <w:r>
              <w:rPr>
                <w:rFonts w:hint="eastAsia"/>
              </w:rPr>
              <w:t>储能运行SOC区间</w:t>
            </w:r>
          </w:p>
        </w:tc>
        <w:tc>
          <w:tcPr>
            <w:tcW w:w="1105" w:type="dxa"/>
          </w:tcPr>
          <w:p w14:paraId="56A9E0FB">
            <w:pPr>
              <w:pStyle w:val="28"/>
              <w:rPr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[</m:t>
                </m:r>
                <m:r>
                  <m:rPr/>
                  <w:rPr>
                    <w:rFonts w:ascii="Cambria Math" w:hAnsi="Cambria Math"/>
                    <w:sz w:val="15"/>
                    <w:szCs w:val="15"/>
                  </w:rPr>
                  <m:t>SO</m:t>
                </m:r>
                <m:sSub>
                  <m:sSubP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15"/>
                        <w:szCs w:val="15"/>
                      </w:rPr>
                      <m:t>C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15"/>
                        <w:szCs w:val="15"/>
                      </w:rPr>
                      <m:t>min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,</m:t>
                </m:r>
                <m:r>
                  <m:rPr/>
                  <w:rPr>
                    <w:rFonts w:ascii="Cambria Math" w:hAnsi="Cambria Math"/>
                    <w:sz w:val="15"/>
                    <w:szCs w:val="15"/>
                  </w:rPr>
                  <m:t>SO</m:t>
                </m:r>
                <m:sSub>
                  <m:sSubP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15"/>
                        <w:szCs w:val="15"/>
                      </w:rPr>
                      <m:t>C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15"/>
                        <w:szCs w:val="15"/>
                      </w:rPr>
                      <m:t>max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]</m:t>
                </m:r>
              </m:oMath>
            </m:oMathPara>
          </w:p>
        </w:tc>
        <w:tc>
          <w:tcPr>
            <w:tcW w:w="1657" w:type="dxa"/>
          </w:tcPr>
          <w:p w14:paraId="4E28DF7D">
            <w:pPr>
              <w:pStyle w:val="28"/>
              <w:rPr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[</m:t>
                </m:r>
                <m:r>
                  <m:rPr/>
                  <w:rPr>
                    <w:rFonts w:ascii="Cambria Math" w:hAnsi="Cambria Math"/>
                    <w:sz w:val="15"/>
                    <w:szCs w:val="15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%,</m:t>
                </m:r>
                <m:r>
                  <m:rPr/>
                  <w:rPr>
                    <w:rFonts w:ascii="Cambria Math" w:hAnsi="Cambria Math"/>
                    <w:sz w:val="15"/>
                    <w:szCs w:val="15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</w:rPr>
                  <m:t>%]</m:t>
                </m:r>
              </m:oMath>
            </m:oMathPara>
          </w:p>
        </w:tc>
        <w:tc>
          <w:tcPr>
            <w:tcW w:w="1105" w:type="dxa"/>
          </w:tcPr>
          <w:p w14:paraId="1112A43E">
            <w:pPr>
              <w:pStyle w:val="28"/>
            </w:pPr>
            <w:r>
              <w:t>-</w:t>
            </w:r>
          </w:p>
        </w:tc>
        <w:tc>
          <w:tcPr>
            <w:tcW w:w="2394" w:type="dxa"/>
          </w:tcPr>
          <w:p w14:paraId="13338C3C">
            <w:pPr>
              <w:pStyle w:val="28"/>
            </w:pPr>
            <w:r>
              <w:rPr>
                <w:rFonts w:hint="eastAsia"/>
              </w:rPr>
              <w:t>兼顾电池寿命与可用容量</w:t>
            </w:r>
          </w:p>
        </w:tc>
      </w:tr>
      <w:tr w14:paraId="43822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7" w:type="dxa"/>
          </w:tcPr>
          <w:p w14:paraId="3EEE554B">
            <w:pPr>
              <w:pStyle w:val="28"/>
            </w:pPr>
            <w:r>
              <w:rPr>
                <w:rFonts w:hint="eastAsia"/>
              </w:rPr>
              <w:t>初始SOC</w:t>
            </w:r>
          </w:p>
        </w:tc>
        <w:tc>
          <w:tcPr>
            <w:tcW w:w="1105" w:type="dxa"/>
          </w:tcPr>
          <w:p w14:paraId="584AF5FC">
            <w:pPr>
              <w:pStyle w:val="28"/>
            </w:pPr>
            <m:oMathPara>
              <m:oMath>
                <m:r>
                  <m:rPr/>
                  <w:rPr>
                    <w:rFonts w:ascii="Cambria Math" w:hAnsi="Cambria Math"/>
                  </w:rPr>
                  <m:t>SO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init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1657" w:type="dxa"/>
          </w:tcPr>
          <w:p w14:paraId="4ECBB949">
            <w:pPr>
              <w:pStyle w:val="28"/>
            </w:pPr>
            <m:oMathPara>
              <m:oMath>
                <m:r>
                  <m:rPr/>
                  <w:rPr>
                    <w:rFonts w:ascii="Cambria Math" w:hAnsi="Cambria Math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05" w:type="dxa"/>
          </w:tcPr>
          <w:p w14:paraId="788FFF35">
            <w:pPr>
              <w:pStyle w:val="28"/>
            </w:pPr>
            <w:r>
              <w:t>-</w:t>
            </w:r>
          </w:p>
        </w:tc>
        <w:tc>
          <w:tcPr>
            <w:tcW w:w="2394" w:type="dxa"/>
          </w:tcPr>
          <w:p w14:paraId="473E7E5A">
            <w:pPr>
              <w:pStyle w:val="28"/>
            </w:pPr>
            <w:r>
              <w:rPr>
                <w:rFonts w:hint="eastAsia"/>
              </w:rPr>
              <w:t>正常运行状态</w:t>
            </w:r>
          </w:p>
        </w:tc>
      </w:tr>
      <w:bookmarkEnd w:id="4"/>
    </w:tbl>
    <w:p w14:paraId="72B877FD">
      <w:pPr>
        <w:pStyle w:val="5"/>
        <w:rPr>
          <w:color w:val="auto"/>
        </w:rPr>
      </w:pPr>
      <w:bookmarkStart w:id="5" w:name="电价机制"/>
      <w:r>
        <w:rPr>
          <w:color w:val="auto"/>
        </w:rPr>
        <w:t xml:space="preserve">1.3 </w:t>
      </w:r>
      <w:r>
        <w:rPr>
          <w:rFonts w:hint="eastAsia"/>
          <w:color w:val="auto"/>
        </w:rPr>
        <w:t>电价机制</w:t>
      </w:r>
    </w:p>
    <w:p w14:paraId="29E01E12">
      <w:pPr>
        <w:pStyle w:val="27"/>
      </w:pPr>
      <w:r>
        <w:rPr>
          <w:rFonts w:hint="eastAsia"/>
        </w:rPr>
        <w:t>采用上海市居民分时电价，如表2所示。</w:t>
      </w:r>
    </w:p>
    <w:p w14:paraId="15EE6771">
      <w:pPr>
        <w:pStyle w:val="3"/>
      </w:pPr>
      <w:r>
        <w:rPr>
          <w:rFonts w:hint="eastAsia"/>
          <w:b/>
          <w:bCs/>
        </w:rPr>
        <w:t>表2：电价参数表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958"/>
        <w:gridCol w:w="2681"/>
      </w:tblGrid>
      <w:tr w14:paraId="44ECC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0317CA">
            <w:pPr>
              <w:pStyle w:val="28"/>
            </w:pPr>
            <w:r>
              <w:rPr>
                <w:rFonts w:hint="eastAsia"/>
              </w:rPr>
              <w:t>时段类型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FB493FF">
            <w:pPr>
              <w:pStyle w:val="28"/>
            </w:pPr>
            <w:r>
              <w:rPr>
                <w:rFonts w:hint="eastAsia"/>
              </w:rPr>
              <w:t>电价（元/kWh）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9E81F6">
            <w:pPr>
              <w:pStyle w:val="28"/>
            </w:pPr>
            <w:r>
              <w:rPr>
                <w:rFonts w:hint="eastAsia"/>
              </w:rPr>
              <w:t>时间区间</w:t>
            </w:r>
          </w:p>
        </w:tc>
      </w:tr>
      <w:tr w14:paraId="5993E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00364D">
            <w:pPr>
              <w:pStyle w:val="28"/>
            </w:pPr>
            <w:r>
              <w:rPr>
                <w:rFonts w:hint="eastAsia"/>
              </w:rPr>
              <w:t>峰段</w:t>
            </w:r>
          </w:p>
        </w:tc>
        <w:tc>
          <w:tcPr>
            <w:tcW w:w="0" w:type="auto"/>
          </w:tcPr>
          <w:p w14:paraId="05300723">
            <w:pPr>
              <w:pStyle w:val="28"/>
            </w:pPr>
            <w:r>
              <w:t>0.677</w:t>
            </w:r>
          </w:p>
        </w:tc>
        <w:tc>
          <w:tcPr>
            <w:tcW w:w="0" w:type="auto"/>
          </w:tcPr>
          <w:p w14:paraId="1E8E710E">
            <w:pPr>
              <w:pStyle w:val="28"/>
            </w:pPr>
            <w:r>
              <w:t>17:00-21:00</w:t>
            </w:r>
          </w:p>
        </w:tc>
      </w:tr>
      <w:tr w14:paraId="02CD8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220310">
            <w:pPr>
              <w:pStyle w:val="28"/>
            </w:pPr>
            <w:r>
              <w:rPr>
                <w:rFonts w:hint="eastAsia"/>
              </w:rPr>
              <w:t>平段</w:t>
            </w:r>
          </w:p>
        </w:tc>
        <w:tc>
          <w:tcPr>
            <w:tcW w:w="0" w:type="auto"/>
          </w:tcPr>
          <w:p w14:paraId="25DC34B6">
            <w:pPr>
              <w:pStyle w:val="28"/>
            </w:pPr>
            <w:r>
              <w:t>0.667</w:t>
            </w:r>
          </w:p>
        </w:tc>
        <w:tc>
          <w:tcPr>
            <w:tcW w:w="0" w:type="auto"/>
          </w:tcPr>
          <w:p w14:paraId="0BDEF0EE">
            <w:pPr>
              <w:pStyle w:val="28"/>
            </w:pPr>
            <w:r>
              <w:t>07:00-17:00, 21:00-23:00</w:t>
            </w:r>
          </w:p>
        </w:tc>
      </w:tr>
      <w:tr w14:paraId="353CA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C87903">
            <w:pPr>
              <w:pStyle w:val="28"/>
            </w:pPr>
            <w:r>
              <w:rPr>
                <w:rFonts w:hint="eastAsia"/>
              </w:rPr>
              <w:t>谷段</w:t>
            </w:r>
          </w:p>
        </w:tc>
        <w:tc>
          <w:tcPr>
            <w:tcW w:w="0" w:type="auto"/>
          </w:tcPr>
          <w:p w14:paraId="45D723E3">
            <w:pPr>
              <w:pStyle w:val="28"/>
            </w:pPr>
            <w:r>
              <w:t>0.337</w:t>
            </w:r>
          </w:p>
        </w:tc>
        <w:tc>
          <w:tcPr>
            <w:tcW w:w="0" w:type="auto"/>
          </w:tcPr>
          <w:p w14:paraId="698883FE">
            <w:pPr>
              <w:pStyle w:val="28"/>
            </w:pPr>
            <w:r>
              <w:rPr>
                <w:rFonts w:hint="eastAsia"/>
              </w:rPr>
              <w:t>23:00-次日07:00</w:t>
            </w:r>
          </w:p>
        </w:tc>
      </w:tr>
      <w:tr w14:paraId="5333F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F4D05F">
            <w:pPr>
              <w:pStyle w:val="28"/>
            </w:pPr>
            <w:r>
              <w:rPr>
                <w:rFonts w:hint="eastAsia"/>
              </w:rPr>
              <w:t>余电上网电价</w:t>
            </w:r>
          </w:p>
        </w:tc>
        <w:tc>
          <w:tcPr>
            <w:tcW w:w="0" w:type="auto"/>
          </w:tcPr>
          <w:p w14:paraId="57EAB749">
            <w:pPr>
              <w:pStyle w:val="28"/>
            </w:pPr>
            <w:r>
              <w:t>0.40</w:t>
            </w:r>
          </w:p>
        </w:tc>
        <w:tc>
          <w:tcPr>
            <w:tcW w:w="0" w:type="auto"/>
          </w:tcPr>
          <w:p w14:paraId="62863F36">
            <w:pPr>
              <w:pStyle w:val="28"/>
            </w:pPr>
            <w:r>
              <w:rPr>
                <w:rFonts w:hint="eastAsia"/>
              </w:rPr>
              <w:t>全天</w:t>
            </w:r>
          </w:p>
        </w:tc>
      </w:tr>
    </w:tbl>
    <w:p w14:paraId="0B8C0314"/>
    <w:bookmarkEnd w:id="2"/>
    <w:bookmarkEnd w:id="5"/>
    <w:p w14:paraId="155EC5C6">
      <w:pPr>
        <w:pStyle w:val="4"/>
        <w:rPr>
          <w:color w:val="auto"/>
        </w:rPr>
      </w:pPr>
      <w:bookmarkStart w:id="6" w:name="二全年负荷与光伏出力时序建模"/>
      <w:r>
        <w:rPr>
          <w:rFonts w:hint="eastAsia"/>
          <w:color w:val="auto"/>
        </w:rPr>
        <w:t>二、全年负荷与光伏出力时序建模</w:t>
      </w:r>
    </w:p>
    <w:p w14:paraId="6FD5F68C">
      <w:pPr>
        <w:pStyle w:val="5"/>
        <w:rPr>
          <w:color w:val="auto"/>
        </w:rPr>
      </w:pPr>
      <w:bookmarkStart w:id="7" w:name="家庭基础负荷建模"/>
      <w:r>
        <w:rPr>
          <w:color w:val="auto"/>
        </w:rPr>
        <w:t xml:space="preserve">2.1 </w:t>
      </w:r>
      <w:r>
        <w:rPr>
          <w:rFonts w:hint="eastAsia"/>
          <w:color w:val="auto"/>
        </w:rPr>
        <w:t>家庭基础负荷建模</w:t>
      </w:r>
    </w:p>
    <w:p w14:paraId="7E604CD8">
      <w:pPr>
        <w:pStyle w:val="27"/>
      </w:pPr>
      <w:r>
        <w:rPr>
          <w:rFonts w:hint="eastAsia"/>
        </w:rPr>
        <w:t>本文采用多组高斯函数叠加方法构建家庭基础负荷曲线，以模拟典型居民用电行为。模型中考虑了以下关键因素：</w:t>
      </w:r>
    </w:p>
    <w:p w14:paraId="4F710190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日内变化</w:t>
      </w:r>
      <w:r>
        <w:rPr>
          <w:rFonts w:hint="eastAsia"/>
        </w:rPr>
        <w:t>：设置早高峰（约7:30）、午间小高峰（约12:30）及晚间主高峰（约20:00）</w:t>
      </w:r>
    </w:p>
    <w:p w14:paraId="3D55DE55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季节差异</w:t>
      </w:r>
      <w:r>
        <w:rPr>
          <w:rFonts w:hint="eastAsia"/>
        </w:rPr>
        <w:t>：夏季增加空调负荷，冬季增加采暖及热水负荷</w:t>
      </w:r>
    </w:p>
    <w:p w14:paraId="223F47BC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周末效应</w:t>
      </w:r>
      <w:r>
        <w:rPr>
          <w:rFonts w:hint="eastAsia"/>
        </w:rPr>
        <w:t>：周末白天负荷整体上浮</w:t>
      </w:r>
    </w:p>
    <w:p w14:paraId="70AFBD81">
      <w:pPr>
        <w:pStyle w:val="27"/>
      </w:pPr>
      <w:r>
        <w:rPr>
          <w:rFonts w:hint="eastAsia"/>
        </w:rPr>
        <w:t>模型表达为多个时段性负荷峰的叠加，并通过统一缩放，使全年平均日用电量严格满足16</w:t>
      </w:r>
      <w:r>
        <w:t xml:space="preserve"> </w:t>
      </w:r>
      <w:r>
        <w:rPr>
          <w:rFonts w:hint="eastAsia"/>
        </w:rPr>
        <w:t>kWh/day的约束。</w:t>
      </w:r>
    </w:p>
    <w:p w14:paraId="2105DF46">
      <w:pPr>
        <w:pStyle w:val="3"/>
      </w:pPr>
      <w:r>
        <w:rPr>
          <w:rFonts w:hint="eastAsia"/>
        </w:rPr>
        <w:t>典型日负荷表达式为：</w:t>
      </w:r>
    </w:p>
    <w:p w14:paraId="795338FF">
      <w:pPr>
        <w:pStyle w:val="3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load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base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morning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noon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evening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seasonal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8BE942A">
      <w:pPr>
        <w:pStyle w:val="27"/>
      </w:pPr>
      <w:r>
        <w:rPr>
          <w:rFonts w:hint="eastAsia"/>
        </w:rPr>
        <w:t>其中：</w:t>
      </w:r>
    </w:p>
    <w:p w14:paraId="1246B6C0">
      <w:pPr>
        <w:pStyle w:val="28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base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：夜间底座负荷（冰箱、待机等），约0.18</w:t>
      </w:r>
      <w:r>
        <w:t xml:space="preserve"> kW</w:t>
      </w:r>
    </w:p>
    <w:p w14:paraId="3DDD8CA9">
      <w:pPr>
        <w:pStyle w:val="28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morning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：早高峰，以7:30为中心的高斯函数</w:t>
      </w:r>
    </w:p>
    <w:p w14:paraId="776A0FF9">
      <w:pPr>
        <w:pStyle w:val="28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noon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：午间小高峰</w:t>
      </w:r>
    </w:p>
    <w:p w14:paraId="3AF3C8D4">
      <w:pPr>
        <w:pStyle w:val="28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evening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：晚间主高峰，约0.95</w:t>
      </w:r>
      <w:r>
        <w:t xml:space="preserve"> kW</w:t>
      </w:r>
    </w:p>
    <w:p w14:paraId="356C5325">
      <w:pPr>
        <w:pStyle w:val="28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seasonal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：季节修正项（夏季空调、冬季采暖）</w:t>
      </w:r>
    </w:p>
    <w:p w14:paraId="17BE7C06">
      <w:pPr>
        <w:pStyle w:val="27"/>
      </w:pPr>
      <w:r>
        <w:rPr>
          <w:rFonts w:hint="eastAsia"/>
        </w:rPr>
        <w:t>为验证模型合理性，计算得到全年平均负荷与最大负荷之比（负荷率）处于约0.3-0.5的合理区间，表明所构建负荷曲线符合典型居民用电特征。</w:t>
      </w:r>
    </w:p>
    <w:p w14:paraId="473017C4">
      <w:pPr>
        <w:pStyle w:val="3"/>
      </w:pPr>
      <w:r>
        <w:drawing>
          <wp:inline distT="0" distB="0" distL="0" distR="0">
            <wp:extent cx="5274310" cy="34829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3202">
      <w:pPr>
        <w:pStyle w:val="3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图1、第1</w:t>
      </w:r>
      <w:r>
        <w:rPr>
          <w:b/>
          <w:bCs/>
          <w:sz w:val="18"/>
          <w:szCs w:val="18"/>
        </w:rPr>
        <w:t>80</w:t>
      </w:r>
      <w:r>
        <w:rPr>
          <w:rFonts w:hint="eastAsia"/>
          <w:b/>
          <w:bCs/>
          <w:sz w:val="18"/>
          <w:szCs w:val="18"/>
        </w:rPr>
        <w:t>天典型日曲线</w:t>
      </w:r>
    </w:p>
    <w:bookmarkEnd w:id="7"/>
    <w:p w14:paraId="01A8B3E5">
      <w:pPr>
        <w:pStyle w:val="5"/>
        <w:rPr>
          <w:color w:val="auto"/>
        </w:rPr>
      </w:pPr>
      <w:bookmarkStart w:id="8" w:name="光伏出力建模"/>
      <w:r>
        <w:rPr>
          <w:color w:val="auto"/>
        </w:rPr>
        <w:t xml:space="preserve">2.2 </w:t>
      </w:r>
      <w:r>
        <w:rPr>
          <w:rFonts w:hint="eastAsia"/>
          <w:color w:val="auto"/>
        </w:rPr>
        <w:t>光伏出力建模</w:t>
      </w:r>
    </w:p>
    <w:p w14:paraId="400A1722">
      <w:pPr>
        <w:pStyle w:val="27"/>
      </w:pPr>
      <w:r>
        <w:rPr>
          <w:rFonts w:hint="eastAsia"/>
        </w:rPr>
        <w:t>光伏出力基于日照规律采用正弦函数进行模拟，并结合月份变化调整日出、日落时间及出力幅值。同时引入随机天气扰动（晴天、多云、阴雨）以增强模型的现实性。</w:t>
      </w:r>
    </w:p>
    <w:p w14:paraId="5E263D01">
      <w:pPr>
        <w:pStyle w:val="3"/>
      </w:pPr>
      <w:r>
        <w:rPr>
          <w:rFonts w:hint="eastAsia"/>
        </w:rPr>
        <w:t>光伏出力模型：</w:t>
      </w:r>
    </w:p>
    <w:p w14:paraId="7BFF49DE">
      <w:pPr>
        <w:pStyle w:val="3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rated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month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weather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⋅sin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sunrise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sunset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sunrise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0BC1C92E">
      <w:pPr>
        <w:pStyle w:val="27"/>
      </w:pPr>
      <w:r>
        <w:rPr>
          <w:rFonts w:hint="eastAsia"/>
        </w:rPr>
        <w:t>其中：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month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：月份修正系数（夏季高约1.05，冬季低约0.65）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weather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：天气扰动因子（晴天0.95-1.05，多云0.55-0.80，阴雨0.15-0.40）</w:t>
      </w:r>
    </w:p>
    <w:p w14:paraId="244FA32F">
      <w:pPr>
        <w:pStyle w:val="3"/>
      </w:pPr>
      <w:r>
        <w:rPr>
          <w:rFonts w:hint="eastAsia"/>
          <w:b/>
          <w:bCs/>
        </w:rPr>
        <w:t>全年光伏发电量：29,120.62</w:t>
      </w:r>
      <w:r>
        <w:rPr>
          <w:b/>
          <w:bCs/>
        </w:rPr>
        <w:t xml:space="preserve"> kWh</w:t>
      </w:r>
    </w:p>
    <w:p w14:paraId="1E3401C4">
      <w:pPr>
        <w:pStyle w:val="3"/>
      </w:pPr>
      <w:r>
        <w:rPr>
          <w:rFonts w:hint="eastAsia"/>
        </w:rPr>
        <w:t>天气类型概率分布：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1656"/>
      </w:tblGrid>
      <w:tr w14:paraId="1914A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347ED0">
            <w:pPr>
              <w:pStyle w:val="28"/>
            </w:pPr>
            <w:r>
              <w:rPr>
                <w:rFonts w:hint="eastAsia"/>
              </w:rPr>
              <w:t>天气类型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4F1DDC3">
            <w:pPr>
              <w:pStyle w:val="28"/>
            </w:pPr>
            <w:r>
              <w:rPr>
                <w:rFonts w:hint="eastAsia"/>
              </w:rPr>
              <w:t>概率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DD54068">
            <w:pPr>
              <w:pStyle w:val="28"/>
            </w:pPr>
            <w:r>
              <w:rPr>
                <w:rFonts w:hint="eastAsia"/>
              </w:rPr>
              <w:t>出力因子范围</w:t>
            </w:r>
          </w:p>
        </w:tc>
      </w:tr>
      <w:tr w14:paraId="38127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BC6E4A">
            <w:pPr>
              <w:pStyle w:val="28"/>
            </w:pPr>
            <w:r>
              <w:rPr>
                <w:rFonts w:hint="eastAsia"/>
              </w:rPr>
              <w:t>晴天</w:t>
            </w:r>
          </w:p>
        </w:tc>
        <w:tc>
          <w:tcPr>
            <w:tcW w:w="0" w:type="auto"/>
          </w:tcPr>
          <w:p w14:paraId="22DFEC32">
            <w:pPr>
              <w:pStyle w:val="28"/>
            </w:pPr>
            <w:r>
              <w:t>60%</w:t>
            </w:r>
          </w:p>
        </w:tc>
        <w:tc>
          <w:tcPr>
            <w:tcW w:w="0" w:type="auto"/>
          </w:tcPr>
          <w:p w14:paraId="0374EF71">
            <w:pPr>
              <w:pStyle w:val="28"/>
            </w:pPr>
            <w:r>
              <w:t>0.95-1.05</w:t>
            </w:r>
          </w:p>
        </w:tc>
      </w:tr>
      <w:tr w14:paraId="622EA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0B2404">
            <w:pPr>
              <w:pStyle w:val="28"/>
            </w:pPr>
            <w:r>
              <w:rPr>
                <w:rFonts w:hint="eastAsia"/>
              </w:rPr>
              <w:t>多云</w:t>
            </w:r>
          </w:p>
        </w:tc>
        <w:tc>
          <w:tcPr>
            <w:tcW w:w="0" w:type="auto"/>
          </w:tcPr>
          <w:p w14:paraId="1E7184AC">
            <w:pPr>
              <w:pStyle w:val="28"/>
            </w:pPr>
            <w:r>
              <w:t>30%</w:t>
            </w:r>
          </w:p>
        </w:tc>
        <w:tc>
          <w:tcPr>
            <w:tcW w:w="0" w:type="auto"/>
          </w:tcPr>
          <w:p w14:paraId="03FB7E73">
            <w:pPr>
              <w:pStyle w:val="28"/>
            </w:pPr>
            <w:r>
              <w:t>0.55-0.80</w:t>
            </w:r>
          </w:p>
        </w:tc>
      </w:tr>
      <w:tr w14:paraId="1CF6E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7980F8">
            <w:pPr>
              <w:pStyle w:val="28"/>
            </w:pPr>
            <w:r>
              <w:rPr>
                <w:rFonts w:hint="eastAsia"/>
              </w:rPr>
              <w:t>阴雨</w:t>
            </w:r>
          </w:p>
        </w:tc>
        <w:tc>
          <w:tcPr>
            <w:tcW w:w="0" w:type="auto"/>
          </w:tcPr>
          <w:p w14:paraId="57557E03">
            <w:pPr>
              <w:pStyle w:val="28"/>
            </w:pPr>
            <w:r>
              <w:t>10%</w:t>
            </w:r>
          </w:p>
        </w:tc>
        <w:tc>
          <w:tcPr>
            <w:tcW w:w="0" w:type="auto"/>
          </w:tcPr>
          <w:p w14:paraId="05D023B7">
            <w:pPr>
              <w:pStyle w:val="28"/>
            </w:pPr>
            <w:r>
              <w:t>0.15-0.40</w:t>
            </w:r>
          </w:p>
        </w:tc>
      </w:tr>
      <w:bookmarkEnd w:id="8"/>
    </w:tbl>
    <w:p w14:paraId="475BC740">
      <w:pPr>
        <w:pStyle w:val="5"/>
        <w:rPr>
          <w:color w:val="auto"/>
        </w:rPr>
      </w:pPr>
      <w:bookmarkStart w:id="9" w:name="数据概览"/>
      <w:r>
        <w:rPr>
          <w:color w:val="auto"/>
        </w:rPr>
        <w:t xml:space="preserve">2.3 </w:t>
      </w:r>
      <w:r>
        <w:rPr>
          <w:rFonts w:hint="eastAsia"/>
          <w:color w:val="auto"/>
        </w:rPr>
        <w:t>数据概览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514"/>
      </w:tblGrid>
      <w:tr w14:paraId="3222C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6F7B7AC">
            <w:pPr>
              <w:pStyle w:val="28"/>
            </w:pPr>
            <w:r>
              <w:rPr>
                <w:rFonts w:hint="eastAsia"/>
              </w:rPr>
              <w:t>分析项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4DF7A9">
            <w:pPr>
              <w:pStyle w:val="28"/>
            </w:pPr>
            <w:r>
              <w:rPr>
                <w:rFonts w:hint="eastAsia"/>
              </w:rPr>
              <w:t>结果</w:t>
            </w:r>
          </w:p>
        </w:tc>
      </w:tr>
      <w:tr w14:paraId="5DE68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546415">
            <w:pPr>
              <w:pStyle w:val="28"/>
            </w:pPr>
            <w:r>
              <w:rPr>
                <w:rFonts w:hint="eastAsia"/>
              </w:rPr>
              <w:t>全年总用电量（基础）</w:t>
            </w:r>
          </w:p>
        </w:tc>
        <w:tc>
          <w:tcPr>
            <w:tcW w:w="0" w:type="auto"/>
          </w:tcPr>
          <w:p w14:paraId="4C907BB4">
            <w:pPr>
              <w:pStyle w:val="28"/>
            </w:pPr>
            <w:r>
              <w:t xml:space="preserve">5,840 </w:t>
            </w:r>
            <w:r>
              <w:rPr>
                <w:rFonts w:hint="eastAsia"/>
              </w:rPr>
              <w:t>kWh（16×365）</w:t>
            </w:r>
          </w:p>
        </w:tc>
      </w:tr>
      <w:tr w14:paraId="06218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01CD60">
            <w:pPr>
              <w:pStyle w:val="28"/>
            </w:pPr>
            <w:r>
              <w:rPr>
                <w:rFonts w:hint="eastAsia"/>
              </w:rPr>
              <w:t>平均负荷</w:t>
            </w:r>
          </w:p>
        </w:tc>
        <w:tc>
          <w:tcPr>
            <w:tcW w:w="0" w:type="auto"/>
          </w:tcPr>
          <w:p w14:paraId="6D30D9D4">
            <w:pPr>
              <w:pStyle w:val="28"/>
            </w:pPr>
            <w:r>
              <w:rPr>
                <w:rFonts w:hint="eastAsia"/>
              </w:rPr>
              <w:t>约0.667</w:t>
            </w:r>
            <w:r>
              <w:t xml:space="preserve"> kW</w:t>
            </w:r>
          </w:p>
        </w:tc>
      </w:tr>
      <w:tr w14:paraId="04FD8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5A93CD">
            <w:pPr>
              <w:pStyle w:val="28"/>
            </w:pPr>
            <w:r>
              <w:rPr>
                <w:rFonts w:hint="eastAsia"/>
              </w:rPr>
              <w:t>负荷率</w:t>
            </w:r>
          </w:p>
        </w:tc>
        <w:tc>
          <w:tcPr>
            <w:tcW w:w="0" w:type="auto"/>
          </w:tcPr>
          <w:p w14:paraId="03E50BAC">
            <w:pPr>
              <w:pStyle w:val="28"/>
            </w:pPr>
            <w:r>
              <w:rPr>
                <w:rFonts w:hint="eastAsia"/>
              </w:rPr>
              <w:t>约0.3-0.5</w:t>
            </w:r>
          </w:p>
        </w:tc>
      </w:tr>
      <w:tr w14:paraId="18812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BFB3E7">
            <w:pPr>
              <w:pStyle w:val="28"/>
            </w:pPr>
            <w:r>
              <w:rPr>
                <w:rFonts w:hint="eastAsia"/>
              </w:rPr>
              <w:t>光伏总发电量</w:t>
            </w:r>
          </w:p>
        </w:tc>
        <w:tc>
          <w:tcPr>
            <w:tcW w:w="0" w:type="auto"/>
          </w:tcPr>
          <w:p w14:paraId="31655BD7">
            <w:pPr>
              <w:pStyle w:val="28"/>
            </w:pPr>
            <w:r>
              <w:t>29,120.62 kWh</w:t>
            </w:r>
          </w:p>
        </w:tc>
      </w:tr>
      <w:tr w14:paraId="22A8C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AB8C26">
            <w:pPr>
              <w:pStyle w:val="28"/>
            </w:pPr>
            <w:r>
              <w:rPr>
                <w:rFonts w:hint="eastAsia"/>
              </w:rPr>
              <w:t>月均光伏发电</w:t>
            </w:r>
          </w:p>
        </w:tc>
        <w:tc>
          <w:tcPr>
            <w:tcW w:w="0" w:type="auto"/>
          </w:tcPr>
          <w:p w14:paraId="292C46E7">
            <w:pPr>
              <w:pStyle w:val="28"/>
            </w:pPr>
            <w:r>
              <w:rPr>
                <w:rFonts w:hint="eastAsia"/>
              </w:rPr>
              <w:t>约2,426.7</w:t>
            </w:r>
            <w:r>
              <w:t xml:space="preserve"> </w:t>
            </w:r>
            <w:r>
              <w:rPr>
                <w:rFonts w:hint="eastAsia"/>
              </w:rPr>
              <w:t>kWh/月</w:t>
            </w:r>
          </w:p>
        </w:tc>
      </w:tr>
    </w:tbl>
    <w:p w14:paraId="42336410">
      <w:r>
        <w:drawing>
          <wp:inline distT="0" distB="0" distL="0" distR="0">
            <wp:extent cx="4791710" cy="313626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1049" cy="31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4AB0">
      <w:pPr>
        <w:pStyle w:val="3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图2、月光伏发电柱状图</w:t>
      </w:r>
    </w:p>
    <w:p w14:paraId="411EFC34"/>
    <w:bookmarkEnd w:id="6"/>
    <w:bookmarkEnd w:id="9"/>
    <w:p w14:paraId="5CBE4136">
      <w:pPr>
        <w:pStyle w:val="4"/>
        <w:rPr>
          <w:color w:val="auto"/>
        </w:rPr>
      </w:pPr>
      <w:bookmarkStart w:id="10" w:name="三电动汽车负荷接入分析"/>
      <w:r>
        <w:rPr>
          <w:rFonts w:hint="eastAsia"/>
          <w:color w:val="auto"/>
        </w:rPr>
        <w:t>三、电动汽车负荷接入分析</w:t>
      </w:r>
    </w:p>
    <w:p w14:paraId="09D8AB28">
      <w:pPr>
        <w:pStyle w:val="5"/>
        <w:rPr>
          <w:color w:val="auto"/>
        </w:rPr>
      </w:pPr>
      <w:bookmarkStart w:id="11" w:name="ev充电模型"/>
      <w:r>
        <w:rPr>
          <w:color w:val="auto"/>
        </w:rPr>
        <w:t xml:space="preserve">3.1 </w:t>
      </w:r>
      <w:r>
        <w:rPr>
          <w:rFonts w:hint="eastAsia"/>
          <w:color w:val="auto"/>
        </w:rPr>
        <w:t>EV充电模型</w:t>
      </w:r>
    </w:p>
    <w:p w14:paraId="582ADEA5">
      <w:pPr>
        <w:pStyle w:val="27"/>
      </w:pPr>
      <w:r>
        <w:rPr>
          <w:rFonts w:hint="eastAsia"/>
        </w:rPr>
        <w:t>电动汽车每日能量需求由通勤里程与单位能耗计算得到：</w:t>
      </w:r>
    </w:p>
    <w:p w14:paraId="7FAC33DC">
      <w:pPr>
        <w:pStyle w:val="3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day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0.15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4.5</m:t>
          </m:r>
          <m:r>
            <m:rPr>
              <m:nor/>
              <m:sty m:val="p"/>
            </m:rPr>
            <m:t xml:space="preserve"> kWh/day</m:t>
          </m:r>
        </m:oMath>
      </m:oMathPara>
    </w:p>
    <w:p w14:paraId="0C4E698C">
      <w:pPr>
        <w:pStyle w:val="27"/>
      </w:pPr>
      <w:r>
        <w:rPr>
          <w:rFonts w:hint="eastAsia"/>
        </w:rPr>
        <w:t>假设用户在</w:t>
      </w:r>
      <w:r>
        <w:rPr>
          <w:rFonts w:hint="eastAsia"/>
          <w:b/>
          <w:bCs/>
        </w:rPr>
        <w:t>19:00到家</w:t>
      </w:r>
      <w:r>
        <w:rPr>
          <w:rFonts w:hint="eastAsia"/>
        </w:rPr>
        <w:t>并立即开始充电，在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>kW充电桩</w:t>
      </w:r>
      <w:r>
        <w:rPr>
          <w:rFonts w:hint="eastAsia"/>
        </w:rPr>
        <w:t>限制下：</w:t>
      </w:r>
    </w:p>
    <w:p w14:paraId="3733E59E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m:t>充电时长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4.5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0.64</m:t>
          </m:r>
          <m:r>
            <m:rPr>
              <m:nor/>
              <m:sty m:val="p"/>
            </m:rPr>
            <m:t>小时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39</m:t>
          </m:r>
          <m:r>
            <m:rPr>
              <m:nor/>
              <m:sty m:val="p"/>
            </m:rPr>
            <m:t>分钟</m:t>
          </m:r>
        </m:oMath>
      </m:oMathPara>
    </w:p>
    <w:p w14:paraId="5CFCBC5B">
      <w:pPr>
        <w:pStyle w:val="27"/>
      </w:pPr>
      <w:r>
        <w:rPr>
          <w:rFonts w:hint="eastAsia"/>
        </w:rPr>
        <w:t>充电过程集中发生于晚高峰时段（19:00-20:00左右），与电价峰段（17:00-21:00）高度重叠。</w:t>
      </w:r>
    </w:p>
    <w:bookmarkEnd w:id="11"/>
    <w:p w14:paraId="66D2E6B8">
      <w:pPr>
        <w:pStyle w:val="5"/>
        <w:rPr>
          <w:color w:val="auto"/>
        </w:rPr>
      </w:pPr>
      <w:bookmarkStart w:id="12" w:name="ev接入影响分析"/>
      <w:r>
        <w:rPr>
          <w:color w:val="auto"/>
        </w:rPr>
        <w:t xml:space="preserve">3.2 </w:t>
      </w:r>
      <w:r>
        <w:rPr>
          <w:rFonts w:hint="eastAsia"/>
          <w:color w:val="auto"/>
        </w:rPr>
        <w:t>EV接入影响分析</w:t>
      </w:r>
    </w:p>
    <w:p w14:paraId="43E9FDC1">
      <w:pPr>
        <w:pStyle w:val="27"/>
      </w:pPr>
      <w:r>
        <w:rPr>
          <w:rFonts w:hint="eastAsia"/>
        </w:rPr>
        <w:t>EV的接入显著改变了家庭负荷结构：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66"/>
        <w:gridCol w:w="2026"/>
        <w:gridCol w:w="936"/>
      </w:tblGrid>
      <w:tr w14:paraId="7ED66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B8B7F3">
            <w:pPr>
              <w:pStyle w:val="28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37588CC">
            <w:pPr>
              <w:pStyle w:val="28"/>
            </w:pPr>
            <w:r>
              <w:rPr>
                <w:rFonts w:hint="eastAsia"/>
              </w:rPr>
              <w:t>无EV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0DB155">
            <w:pPr>
              <w:pStyle w:val="28"/>
            </w:pPr>
            <w:r>
              <w:rPr>
                <w:rFonts w:hint="eastAsia"/>
              </w:rPr>
              <w:t>有EV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58F5B1">
            <w:pPr>
              <w:pStyle w:val="28"/>
            </w:pPr>
            <w:r>
              <w:rPr>
                <w:rFonts w:hint="eastAsia"/>
              </w:rPr>
              <w:t>变化</w:t>
            </w:r>
          </w:p>
        </w:tc>
      </w:tr>
      <w:tr w14:paraId="5D10F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3F94EB">
            <w:pPr>
              <w:pStyle w:val="28"/>
            </w:pPr>
            <w:r>
              <w:rPr>
                <w:rFonts w:hint="eastAsia"/>
              </w:rPr>
              <w:t>年用电量</w:t>
            </w:r>
          </w:p>
        </w:tc>
        <w:tc>
          <w:tcPr>
            <w:tcW w:w="0" w:type="auto"/>
          </w:tcPr>
          <w:p w14:paraId="7F40AD32">
            <w:pPr>
              <w:pStyle w:val="28"/>
            </w:pPr>
            <w:r>
              <w:t>5,840 kWh</w:t>
            </w:r>
          </w:p>
        </w:tc>
        <w:tc>
          <w:tcPr>
            <w:tcW w:w="0" w:type="auto"/>
          </w:tcPr>
          <w:p w14:paraId="6F414F59">
            <w:pPr>
              <w:pStyle w:val="28"/>
            </w:pPr>
            <w:r>
              <w:t>7,482.5 kWh</w:t>
            </w:r>
          </w:p>
        </w:tc>
        <w:tc>
          <w:tcPr>
            <w:tcW w:w="0" w:type="auto"/>
          </w:tcPr>
          <w:p w14:paraId="378DFC33">
            <w:pPr>
              <w:pStyle w:val="28"/>
            </w:pPr>
            <w:r>
              <w:t>+28.1%</w:t>
            </w:r>
          </w:p>
        </w:tc>
      </w:tr>
      <w:tr w14:paraId="42DD5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A86DC5">
            <w:pPr>
              <w:pStyle w:val="28"/>
            </w:pPr>
            <w:r>
              <w:rPr>
                <w:rFonts w:hint="eastAsia"/>
              </w:rPr>
              <w:t>晚高峰负荷</w:t>
            </w:r>
          </w:p>
        </w:tc>
        <w:tc>
          <w:tcPr>
            <w:tcW w:w="0" w:type="auto"/>
          </w:tcPr>
          <w:p w14:paraId="4E881913">
            <w:pPr>
              <w:pStyle w:val="28"/>
            </w:pPr>
            <w:r>
              <w:t>2.5 kW</w:t>
            </w:r>
          </w:p>
        </w:tc>
        <w:tc>
          <w:tcPr>
            <w:tcW w:w="0" w:type="auto"/>
          </w:tcPr>
          <w:p w14:paraId="5636C724">
            <w:pPr>
              <w:pStyle w:val="28"/>
            </w:pPr>
            <w:bookmarkStart w:id="32" w:name="_GoBack"/>
            <w:bookmarkEnd w:id="32"/>
            <w:r>
              <w:t>9.5 kW</w:t>
            </w:r>
          </w:p>
        </w:tc>
        <w:tc>
          <w:tcPr>
            <w:tcW w:w="0" w:type="auto"/>
          </w:tcPr>
          <w:p w14:paraId="0E8296BC">
            <w:pPr>
              <w:pStyle w:val="28"/>
            </w:pPr>
            <w:r>
              <w:t>+280%</w:t>
            </w:r>
          </w:p>
        </w:tc>
      </w:tr>
      <w:tr w14:paraId="489A8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8310B0">
            <w:pPr>
              <w:pStyle w:val="28"/>
            </w:pPr>
            <w:r>
              <w:rPr>
                <w:rFonts w:hint="eastAsia"/>
              </w:rPr>
              <w:t>充电时段电价</w:t>
            </w:r>
          </w:p>
        </w:tc>
        <w:tc>
          <w:tcPr>
            <w:tcW w:w="0" w:type="auto"/>
          </w:tcPr>
          <w:p w14:paraId="7F2417DC">
            <w:pPr>
              <w:pStyle w:val="28"/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14:paraId="26B450A7">
            <w:pPr>
              <w:pStyle w:val="28"/>
            </w:pPr>
            <w:r>
              <w:rPr>
                <w:rFonts w:hint="eastAsia"/>
              </w:rPr>
              <w:t>峰段（0.677元）</w:t>
            </w:r>
          </w:p>
        </w:tc>
        <w:tc>
          <w:tcPr>
            <w:tcW w:w="0" w:type="auto"/>
          </w:tcPr>
          <w:p w14:paraId="6E86E8B6">
            <w:pPr>
              <w:pStyle w:val="28"/>
            </w:pPr>
            <w:r>
              <w:rPr>
                <w:rFonts w:hint="eastAsia"/>
              </w:rPr>
              <w:t>高成本</w:t>
            </w:r>
          </w:p>
        </w:tc>
      </w:tr>
    </w:tbl>
    <w:p w14:paraId="6BBA5876">
      <w:pPr>
        <w:pStyle w:val="3"/>
      </w:pPr>
      <w:r>
        <w:rPr>
          <w:rFonts w:hint="eastAsia"/>
        </w:rPr>
        <w:t>这种</w:t>
      </w:r>
      <w:r>
        <w:rPr>
          <w:rFonts w:hint="eastAsia"/>
          <w:b/>
          <w:bCs/>
        </w:rPr>
        <w:t>“高功率+高电价”叠加效应</w:t>
      </w:r>
      <w:r>
        <w:rPr>
          <w:rFonts w:hint="eastAsia"/>
        </w:rPr>
        <w:t>导致系统运行成本显著增加，成为引入储能系统的主要动因。</w:t>
      </w:r>
    </w:p>
    <w:p w14:paraId="66E0A8CA">
      <w:pPr>
        <w:pStyle w:val="13"/>
      </w:pPr>
      <w:r>
        <w:rPr>
          <w:rFonts w:hint="eastAsia"/>
        </w:rPr>
        <w:t>注：本模型假设EV每日均进行充电，未考虑出行随机性。实际中用户行为具有不确定性，后续研究可通过随机模型（如泊松分布）进一步刻画。</w:t>
      </w:r>
    </w:p>
    <w:p w14:paraId="53B84C63"/>
    <w:bookmarkEnd w:id="10"/>
    <w:bookmarkEnd w:id="12"/>
    <w:p w14:paraId="6057473B">
      <w:pPr>
        <w:pStyle w:val="4"/>
        <w:rPr>
          <w:color w:val="auto"/>
        </w:rPr>
      </w:pPr>
      <w:bookmarkStart w:id="13" w:name="四储能系统容量与功率选型含折损成本分析"/>
      <w:r>
        <w:rPr>
          <w:rFonts w:hint="eastAsia"/>
          <w:color w:val="auto"/>
        </w:rPr>
        <w:t>四、储能系统容量与功率选型（含折损成本分析）</w:t>
      </w:r>
    </w:p>
    <w:p w14:paraId="0F549766">
      <w:pPr>
        <w:pStyle w:val="5"/>
        <w:rPr>
          <w:color w:val="auto"/>
        </w:rPr>
      </w:pPr>
      <w:bookmarkStart w:id="14" w:name="储能成本模型"/>
      <w:r>
        <w:rPr>
          <w:color w:val="auto"/>
        </w:rPr>
        <w:t xml:space="preserve">4.1 </w:t>
      </w:r>
      <w:r>
        <w:rPr>
          <w:rFonts w:hint="eastAsia"/>
          <w:color w:val="auto"/>
        </w:rPr>
        <w:t>储能成本模型</w:t>
      </w:r>
    </w:p>
    <w:p w14:paraId="3B40EC49">
      <w:pPr>
        <w:pStyle w:val="27"/>
      </w:pPr>
      <w:r>
        <w:rPr>
          <w:rFonts w:hint="eastAsia"/>
        </w:rPr>
        <w:t>本报告引入了</w:t>
      </w:r>
      <w:r>
        <w:rPr>
          <w:rFonts w:hint="eastAsia"/>
          <w:b/>
          <w:bCs/>
        </w:rPr>
        <w:t>电池寿命折损成本</w:t>
      </w:r>
      <w:r>
        <w:rPr>
          <w:rFonts w:hint="eastAsia"/>
        </w:rPr>
        <w:t>作为关键优化指标，这是本次课程项目的核心改进点。</w:t>
      </w:r>
    </w:p>
    <w:p w14:paraId="44B58A41">
      <w:pPr>
        <w:pStyle w:val="3"/>
      </w:pPr>
      <w:r>
        <w:rPr>
          <w:rFonts w:hint="eastAsia"/>
          <w:b/>
          <w:bCs/>
        </w:rPr>
        <w:t>度电折损成本计算公式：</w:t>
      </w:r>
    </w:p>
    <w:p w14:paraId="0385C25F">
      <w:pPr>
        <w:pStyle w:val="3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wear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bat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cap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cycle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/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×(</m:t>
              </m:r>
              <m:r>
                <m:rPr/>
                <w:rPr>
                  <w:rFonts w:ascii="Cambria Math" w:hAnsi="Cambria Math"/>
                </w:rPr>
                <m:t>SO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SO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D7E796C">
      <w:pPr>
        <w:pStyle w:val="27"/>
      </w:pPr>
      <w:r>
        <w:rPr>
          <w:rFonts w:hint="eastAsia"/>
        </w:rPr>
        <w:t>其中：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bat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cap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：单位容量造价，取1,500元/kWh（磷酸铁锂电池市场调研）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cycle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：循环寿命，取6,000次</w:t>
      </w:r>
      <w:r>
        <w:t xml:space="preserve"> </w:t>
      </w:r>
      <m:oMath>
        <m:r>
          <m:rPr/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：可用SOC范围80%</w:t>
      </w:r>
    </w:p>
    <w:p w14:paraId="380505F1">
      <w:pPr>
        <w:pStyle w:val="3"/>
      </w:pPr>
      <w:r>
        <w:rPr>
          <w:rFonts w:hint="eastAsia"/>
        </w:rPr>
        <w:t>计算得：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wear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0.15625</m:t>
        </m:r>
        <m:r>
          <m:rPr>
            <m:nor/>
            <m:sty m:val="p"/>
          </m:rPr>
          <m:t>元/kWh</m:t>
        </m:r>
      </m:oMath>
    </w:p>
    <w:p w14:paraId="33C1C2FF">
      <w:pPr>
        <w:pStyle w:val="3"/>
      </w:pPr>
      <w:r>
        <w:rPr>
          <w:rFonts w:hint="eastAsia"/>
          <w:b/>
          <w:bCs/>
        </w:rPr>
        <w:t>综合年总成本：</w:t>
      </w:r>
    </w:p>
    <w:p w14:paraId="2B627F50">
      <w:pPr>
        <w:pStyle w:val="3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total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m:rPr/>
            <w:rPr>
              <w:rFonts w:ascii="Cambria Math" w:hAnsi="Cambria Math"/>
            </w:rPr>
            <m:t>cost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buy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/>
                <w:rPr>
                  <w:rFonts w:ascii="Cambria Math" w:hAnsi="Cambria Math"/>
                </w:rPr>
                <m:t>cost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sell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m:rPr/>
                <w:rPr>
                  <w:rFonts w:ascii="Cambria Math" w:hAnsi="Cambria Math"/>
                </w:rPr>
                <m:t>revenue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discharge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wear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bookmarkEnd w:id="14"/>
    <w:p w14:paraId="7CBAEF42">
      <w:pPr>
        <w:pStyle w:val="5"/>
        <w:rPr>
          <w:color w:val="auto"/>
        </w:rPr>
      </w:pPr>
      <w:bookmarkStart w:id="15" w:name="方案扫描"/>
      <w:r>
        <w:rPr>
          <w:color w:val="auto"/>
        </w:rPr>
        <w:t xml:space="preserve">4.2 </w:t>
      </w:r>
      <w:r>
        <w:rPr>
          <w:rFonts w:hint="eastAsia"/>
          <w:color w:val="auto"/>
        </w:rPr>
        <w:t>方案扫描</w:t>
      </w:r>
    </w:p>
    <w:p w14:paraId="1F78329C">
      <w:pPr>
        <w:pStyle w:val="27"/>
      </w:pPr>
      <w:r>
        <w:rPr>
          <w:rFonts w:hint="eastAsia"/>
        </w:rPr>
        <w:t>通过构建容量与功率的离散候选集合，对不同组合进行全年仿真，并以年总电费最小为主要优化目标进行排序。</w:t>
      </w:r>
    </w:p>
    <w:p w14:paraId="15CA8E50">
      <w:pPr>
        <w:pStyle w:val="27"/>
      </w:pPr>
      <w:r>
        <w:drawing>
          <wp:inline distT="0" distB="0" distL="0" distR="0">
            <wp:extent cx="5274310" cy="34220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DFA5">
      <w:pPr>
        <w:pStyle w:val="3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图3、不同储能方案的全年总电费（元）</w:t>
      </w:r>
    </w:p>
    <w:p w14:paraId="1A6C91C6">
      <w:pPr>
        <w:pStyle w:val="27"/>
      </w:pPr>
      <w:r>
        <w:rPr>
          <w:rFonts w:hint="eastAsia"/>
          <w:b/>
          <w:bCs/>
        </w:rPr>
        <w:t>候选容量（kWh）：[5,</w:t>
      </w:r>
      <w:r>
        <w:rPr>
          <w:b/>
          <w:bCs/>
        </w:rPr>
        <w:t xml:space="preserve"> 10, 15, 20, 30]</w:t>
      </w:r>
      <w:r>
        <w:t xml:space="preserve"> </w:t>
      </w:r>
      <w:r>
        <w:rPr>
          <w:rFonts w:hint="eastAsia"/>
          <w:b/>
          <w:bCs/>
        </w:rPr>
        <w:t>候选功率（kW）：[2,</w:t>
      </w:r>
      <w:r>
        <w:rPr>
          <w:b/>
          <w:bCs/>
        </w:rPr>
        <w:t xml:space="preserve"> 3, 5, 7, 10]</w:t>
      </w:r>
    </w:p>
    <w:p w14:paraId="52211851">
      <w:pPr>
        <w:pStyle w:val="3"/>
      </w:pPr>
      <w:r>
        <w:rPr>
          <w:rFonts w:hint="eastAsia"/>
          <w:b/>
          <w:bCs/>
        </w:rPr>
        <w:t>表3：储能方案扫描结果（按综合成本排序Top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5）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932"/>
        <w:gridCol w:w="839"/>
        <w:gridCol w:w="1119"/>
        <w:gridCol w:w="1119"/>
        <w:gridCol w:w="1119"/>
        <w:gridCol w:w="1026"/>
        <w:gridCol w:w="1119"/>
        <w:gridCol w:w="1119"/>
      </w:tblGrid>
      <w:tr w14:paraId="77FD7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6" w:type="dxa"/>
            <w:tcBorders>
              <w:bottom w:val="single" w:color="auto" w:sz="4" w:space="0"/>
              <w:right w:val="single" w:color="auto" w:sz="4" w:space="0"/>
            </w:tcBorders>
            <w:vAlign w:val="bottom"/>
          </w:tcPr>
          <w:p w14:paraId="5AAECEE4">
            <w:pPr>
              <w:pStyle w:val="28"/>
            </w:pPr>
            <w:r>
              <w:rPr>
                <w:rFonts w:hint="eastAsia"/>
              </w:rPr>
              <w:t>排名</w:t>
            </w:r>
          </w:p>
        </w:tc>
        <w:tc>
          <w:tcPr>
            <w:tcW w:w="83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F43D724">
            <w:pPr>
              <w:pStyle w:val="28"/>
            </w:pPr>
            <w:r>
              <w:rPr>
                <w:rFonts w:hint="eastAsia"/>
              </w:rPr>
              <w:t>容量(kWh)</w:t>
            </w:r>
          </w:p>
        </w:tc>
        <w:tc>
          <w:tcPr>
            <w:tcW w:w="75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8A189DE">
            <w:pPr>
              <w:pStyle w:val="28"/>
            </w:pPr>
            <w:r>
              <w:rPr>
                <w:rFonts w:hint="eastAsia"/>
              </w:rPr>
              <w:t>功率(kW)</w:t>
            </w:r>
          </w:p>
        </w:tc>
        <w:tc>
          <w:tcPr>
            <w:tcW w:w="10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8330B5A">
            <w:pPr>
              <w:pStyle w:val="28"/>
            </w:pPr>
            <w:r>
              <w:rPr>
                <w:rFonts w:hint="eastAsia"/>
              </w:rPr>
              <w:t>综合成本(元)</w:t>
            </w:r>
          </w:p>
        </w:tc>
        <w:tc>
          <w:tcPr>
            <w:tcW w:w="10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9473F47">
            <w:pPr>
              <w:pStyle w:val="28"/>
            </w:pPr>
            <w:r>
              <w:rPr>
                <w:rFonts w:hint="eastAsia"/>
              </w:rPr>
              <w:t>购电量(kWh)</w:t>
            </w:r>
          </w:p>
        </w:tc>
        <w:tc>
          <w:tcPr>
            <w:tcW w:w="10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5380DA">
            <w:pPr>
              <w:pStyle w:val="28"/>
            </w:pPr>
            <w:r>
              <w:rPr>
                <w:rFonts w:hint="eastAsia"/>
              </w:rPr>
              <w:t>售电量(kWh)</w:t>
            </w:r>
          </w:p>
        </w:tc>
        <w:tc>
          <w:tcPr>
            <w:tcW w:w="91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78300FD">
            <w:pPr>
              <w:pStyle w:val="28"/>
            </w:pPr>
            <w:r>
              <w:rPr>
                <w:rFonts w:hint="eastAsia"/>
              </w:rPr>
              <w:t>自发自用率</w:t>
            </w:r>
          </w:p>
        </w:tc>
        <w:tc>
          <w:tcPr>
            <w:tcW w:w="10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7C9C2EE">
            <w:pPr>
              <w:pStyle w:val="28"/>
            </w:pPr>
            <w:r>
              <w:rPr>
                <w:rFonts w:hint="eastAsia"/>
              </w:rPr>
              <w:t>购电峰值(kW)</w:t>
            </w:r>
          </w:p>
        </w:tc>
        <w:tc>
          <w:tcPr>
            <w:tcW w:w="1000" w:type="dxa"/>
            <w:tcBorders>
              <w:left w:val="single" w:color="auto" w:sz="4" w:space="0"/>
              <w:bottom w:val="single" w:color="auto" w:sz="4" w:space="0"/>
            </w:tcBorders>
            <w:vAlign w:val="bottom"/>
          </w:tcPr>
          <w:p w14:paraId="6247CFD8">
            <w:pPr>
              <w:pStyle w:val="28"/>
            </w:pPr>
            <w:r>
              <w:rPr>
                <w:rFonts w:hint="eastAsia"/>
              </w:rPr>
              <w:t>等效循环次数</w:t>
            </w:r>
          </w:p>
        </w:tc>
      </w:tr>
      <w:tr w14:paraId="038EB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49C1E">
            <w:pPr>
              <w:pStyle w:val="28"/>
            </w:pPr>
            <w:r>
              <w:t>1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61D77">
            <w:pPr>
              <w:pStyle w:val="28"/>
            </w:pPr>
            <w:r>
              <w:t>15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52DA7">
            <w:pPr>
              <w:pStyle w:val="28"/>
            </w:pPr>
            <w:r>
              <w:t>10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54E30">
            <w:pPr>
              <w:pStyle w:val="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-7,657.51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855E48">
            <w:pPr>
              <w:pStyle w:val="28"/>
            </w:pPr>
            <w:r>
              <w:t>1,027.32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EB7A3">
            <w:pPr>
              <w:pStyle w:val="28"/>
            </w:pPr>
            <w:r>
              <w:t>21,757.04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7CCFE">
            <w:pPr>
              <w:pStyle w:val="28"/>
            </w:pPr>
            <w:r>
              <w:t>25.29%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6011E0">
            <w:pPr>
              <w:pStyle w:val="28"/>
            </w:pPr>
            <w:r>
              <w:t>6.19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9AA3E7">
            <w:pPr>
              <w:pStyle w:val="28"/>
            </w:pPr>
            <w:r>
              <w:t>160.31</w:t>
            </w:r>
          </w:p>
        </w:tc>
      </w:tr>
      <w:tr w14:paraId="19318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83227">
            <w:pPr>
              <w:pStyle w:val="28"/>
            </w:pPr>
            <w:r>
              <w:t>2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8CC0C">
            <w:pPr>
              <w:pStyle w:val="28"/>
            </w:pPr>
            <w:r>
              <w:t>10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8C5F2">
            <w:pPr>
              <w:pStyle w:val="28"/>
            </w:pPr>
            <w:r>
              <w:t>10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EA9BD">
            <w:pPr>
              <w:pStyle w:val="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-7,657.46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25C73">
            <w:pPr>
              <w:pStyle w:val="28"/>
            </w:pPr>
            <w:r>
              <w:t>2,302.24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188BD">
            <w:pPr>
              <w:pStyle w:val="28"/>
            </w:pPr>
            <w:r>
              <w:t>23,328.81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77B40">
            <w:pPr>
              <w:pStyle w:val="28"/>
            </w:pPr>
            <w:r>
              <w:t>19.89%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600FC1">
            <w:pPr>
              <w:pStyle w:val="28"/>
            </w:pPr>
            <w:r>
              <w:t>6.19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4494038">
            <w:pPr>
              <w:pStyle w:val="28"/>
            </w:pPr>
            <w:r>
              <w:t>161.88</w:t>
            </w:r>
          </w:p>
        </w:tc>
      </w:tr>
      <w:tr w14:paraId="0B56F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1887D9">
            <w:pPr>
              <w:pStyle w:val="28"/>
            </w:pPr>
            <w:r>
              <w:t>3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05C09">
            <w:pPr>
              <w:pStyle w:val="28"/>
            </w:pPr>
            <w:r>
              <w:t>10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794B1">
            <w:pPr>
              <w:pStyle w:val="28"/>
            </w:pPr>
            <w:r>
              <w:t>7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038D2">
            <w:pPr>
              <w:pStyle w:val="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-7,657.25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0A70F">
            <w:pPr>
              <w:pStyle w:val="28"/>
            </w:pPr>
            <w:r>
              <w:t>2,302.24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5AAF6">
            <w:pPr>
              <w:pStyle w:val="28"/>
            </w:pPr>
            <w:r>
              <w:t>23,328.81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C8844">
            <w:pPr>
              <w:pStyle w:val="28"/>
            </w:pPr>
            <w:r>
              <w:t>19.89%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47DEE">
            <w:pPr>
              <w:pStyle w:val="28"/>
            </w:pPr>
            <w:r>
              <w:t>5.76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70FFC84">
            <w:pPr>
              <w:pStyle w:val="28"/>
            </w:pPr>
            <w:r>
              <w:t>161.88</w:t>
            </w:r>
          </w:p>
        </w:tc>
      </w:tr>
      <w:tr w14:paraId="05CF2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0AF23">
            <w:pPr>
              <w:pStyle w:val="28"/>
            </w:pPr>
            <w:r>
              <w:t>4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B9F44">
            <w:pPr>
              <w:pStyle w:val="28"/>
            </w:pPr>
            <w:r>
              <w:t>10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9CD78">
            <w:pPr>
              <w:pStyle w:val="28"/>
            </w:pPr>
            <w:r>
              <w:t>5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C3F4C">
            <w:pPr>
              <w:pStyle w:val="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-7,655.37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52420">
            <w:pPr>
              <w:pStyle w:val="28"/>
            </w:pPr>
            <w:r>
              <w:t>2,302.24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7871C">
            <w:pPr>
              <w:pStyle w:val="28"/>
            </w:pPr>
            <w:r>
              <w:t>23,328.81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732CE">
            <w:pPr>
              <w:pStyle w:val="28"/>
            </w:pPr>
            <w:r>
              <w:t>19.89%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50FC8">
            <w:pPr>
              <w:pStyle w:val="28"/>
            </w:pPr>
            <w:r>
              <w:t>4.71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6DB4ABD">
            <w:pPr>
              <w:pStyle w:val="28"/>
            </w:pPr>
            <w:r>
              <w:t>161.88</w:t>
            </w:r>
          </w:p>
        </w:tc>
      </w:tr>
      <w:tr w14:paraId="66CBF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dxa"/>
            <w:tcBorders>
              <w:top w:val="single" w:color="auto" w:sz="4" w:space="0"/>
              <w:right w:val="single" w:color="auto" w:sz="4" w:space="0"/>
            </w:tcBorders>
          </w:tcPr>
          <w:p w14:paraId="764ED4EF">
            <w:pPr>
              <w:pStyle w:val="28"/>
            </w:pPr>
            <w:r>
              <w:t>5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94BBD46">
            <w:pPr>
              <w:pStyle w:val="28"/>
            </w:pPr>
            <w:r>
              <w:t>5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9A9085C">
            <w:pPr>
              <w:pStyle w:val="28"/>
            </w:pPr>
            <w:r>
              <w:t>5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4B29AC5">
            <w:pPr>
              <w:pStyle w:val="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-7,621.51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2E86064">
            <w:pPr>
              <w:pStyle w:val="28"/>
            </w:pPr>
            <w:r>
              <w:t>3,612.55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7C6BA97">
            <w:pPr>
              <w:pStyle w:val="28"/>
            </w:pPr>
            <w:r>
              <w:t>24,944.25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DF0F9AA">
            <w:pPr>
              <w:pStyle w:val="28"/>
            </w:pPr>
            <w:r>
              <w:t>14.34%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0A6BB2F">
            <w:pPr>
              <w:pStyle w:val="28"/>
            </w:pPr>
            <w:r>
              <w:t>8.67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</w:tcBorders>
          </w:tcPr>
          <w:p w14:paraId="7767DE66">
            <w:pPr>
              <w:pStyle w:val="28"/>
            </w:pPr>
            <w:r>
              <w:t>162.22</w:t>
            </w:r>
          </w:p>
        </w:tc>
      </w:tr>
      <w:bookmarkEnd w:id="15"/>
    </w:tbl>
    <w:p w14:paraId="39E59A72">
      <w:pPr>
        <w:pStyle w:val="5"/>
        <w:rPr>
          <w:color w:val="auto"/>
        </w:rPr>
      </w:pPr>
      <w:bookmarkStart w:id="16" w:name="最优方案分析"/>
      <w:r>
        <w:rPr>
          <w:color w:val="auto"/>
        </w:rPr>
        <w:t xml:space="preserve">4.3 </w:t>
      </w:r>
      <w:r>
        <w:rPr>
          <w:rFonts w:hint="eastAsia"/>
          <w:color w:val="auto"/>
        </w:rPr>
        <w:t>最优方案分析</w:t>
      </w:r>
    </w:p>
    <w:p w14:paraId="3862CB4D">
      <w:pPr>
        <w:pStyle w:val="27"/>
      </w:pPr>
      <w:r>
        <w:rPr>
          <w:rFonts w:hint="eastAsia"/>
          <w:b/>
          <w:bCs/>
        </w:rPr>
        <w:t>最优储能方案：15</w:t>
      </w:r>
      <w:r>
        <w:rPr>
          <w:b/>
          <w:bCs/>
        </w:rPr>
        <w:t xml:space="preserve"> kWh × 10 kW</w:t>
      </w:r>
    </w:p>
    <w:p w14:paraId="411E122E">
      <w:pPr>
        <w:pStyle w:val="3"/>
      </w:pPr>
      <w:r>
        <w:rPr>
          <w:rFonts w:hint="eastAsia"/>
        </w:rPr>
        <w:t>关键指标解析：</w:t>
      </w:r>
      <w:r>
        <w:t xml:space="preserve"> </w:t>
      </w:r>
      <w:r>
        <w:rPr>
          <w:rFonts w:hint="eastAsia"/>
          <w:b/>
          <w:bCs/>
        </w:rPr>
        <w:t>年综合成本</w:t>
      </w:r>
      <w:r>
        <w:rPr>
          <w:rFonts w:hint="eastAsia"/>
        </w:rPr>
        <w:t>：-7,657.51元（净收益）</w:t>
      </w:r>
      <w:r>
        <w:t xml:space="preserve"> </w:t>
      </w:r>
      <w:r>
        <w:rPr>
          <w:rFonts w:hint="eastAsia"/>
          <w:b/>
          <w:bCs/>
        </w:rPr>
        <w:t>自发自用率</w:t>
      </w:r>
      <w:r>
        <w:rPr>
          <w:rFonts w:hint="eastAsia"/>
        </w:rPr>
        <w:t>：25.29%</w:t>
      </w:r>
      <w:r>
        <w:t xml:space="preserve"> </w:t>
      </w:r>
      <w:r>
        <w:rPr>
          <w:rFonts w:hint="eastAsia"/>
          <w:b/>
          <w:bCs/>
        </w:rPr>
        <w:t>等效循环次数</w:t>
      </w:r>
      <w:r>
        <w:rPr>
          <w:rFonts w:hint="eastAsia"/>
        </w:rPr>
        <w:t>：160.31次/年（对应日历寿命约37年，实际受日历寿命限制更显著）</w:t>
      </w:r>
      <w:r>
        <w:t xml:space="preserve"> </w:t>
      </w:r>
      <w:r>
        <w:rPr>
          <w:rFonts w:hint="eastAsia"/>
          <w:b/>
          <w:bCs/>
        </w:rPr>
        <w:t>购电峰值</w:t>
      </w:r>
      <w:r>
        <w:rPr>
          <w:rFonts w:hint="eastAsia"/>
        </w:rPr>
        <w:t>：6.19</w:t>
      </w:r>
      <w:r>
        <w:t xml:space="preserve"> </w:t>
      </w:r>
      <w:r>
        <w:rPr>
          <w:rFonts w:hint="eastAsia"/>
        </w:rPr>
        <w:t>kW（有效削峰）</w:t>
      </w:r>
    </w:p>
    <w:bookmarkEnd w:id="16"/>
    <w:p w14:paraId="39AC33F2">
      <w:pPr>
        <w:pStyle w:val="5"/>
        <w:rPr>
          <w:color w:val="auto"/>
        </w:rPr>
      </w:pPr>
      <w:bookmarkStart w:id="17" w:name="储能容量边际收益分析"/>
      <w:r>
        <w:rPr>
          <w:color w:val="auto"/>
        </w:rPr>
        <w:t xml:space="preserve">4.4 </w:t>
      </w:r>
      <w:r>
        <w:rPr>
          <w:rFonts w:hint="eastAsia"/>
          <w:color w:val="auto"/>
        </w:rPr>
        <w:t>储能容量边际收益分析</w:t>
      </w:r>
    </w:p>
    <w:p w14:paraId="1E519E76">
      <w:pPr>
        <w:pStyle w:val="27"/>
      </w:pPr>
      <w:r>
        <w:rPr>
          <w:rFonts w:hint="eastAsia"/>
        </w:rPr>
        <w:t>结果表明，储能容量存在明显的</w:t>
      </w:r>
      <w:r>
        <w:rPr>
          <w:rFonts w:hint="eastAsia"/>
          <w:b/>
          <w:bCs/>
        </w:rPr>
        <w:t>边际收益递减特性</w:t>
      </w:r>
      <w:r>
        <w:rPr>
          <w:rFonts w:hint="eastAsia"/>
        </w:rPr>
        <w:t>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281"/>
        <w:gridCol w:w="1307"/>
        <w:gridCol w:w="1176"/>
      </w:tblGrid>
      <w:tr w14:paraId="1E8F4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</w:tcBorders>
            <w:vAlign w:val="bottom"/>
          </w:tcPr>
          <w:p w14:paraId="3C38DCA6">
            <w:pPr>
              <w:pStyle w:val="28"/>
            </w:pPr>
            <w:r>
              <w:rPr>
                <w:rFonts w:hint="eastAsia"/>
              </w:rPr>
              <w:t>容量变化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bottom"/>
          </w:tcPr>
          <w:p w14:paraId="6C75A697">
            <w:pPr>
              <w:pStyle w:val="28"/>
            </w:pPr>
            <w:r>
              <w:rPr>
                <w:rFonts w:hint="eastAsia"/>
              </w:rPr>
              <w:t>综合成本变化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bottom"/>
          </w:tcPr>
          <w:p w14:paraId="7884EA56">
            <w:pPr>
              <w:pStyle w:val="28"/>
            </w:pPr>
            <w:r>
              <w:rPr>
                <w:rFonts w:hint="eastAsia"/>
              </w:rPr>
              <w:t>边际改善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vAlign w:val="bottom"/>
          </w:tcPr>
          <w:p w14:paraId="1E1ECC45">
            <w:pPr>
              <w:pStyle w:val="28"/>
            </w:pPr>
            <w:r>
              <w:rPr>
                <w:rFonts w:hint="eastAsia"/>
              </w:rPr>
              <w:t>分析</w:t>
            </w:r>
          </w:p>
        </w:tc>
      </w:tr>
      <w:tr w14:paraId="6EEE8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bottom w:val="single" w:color="auto" w:sz="4" w:space="0"/>
              <w:right w:val="single" w:color="auto" w:sz="4" w:space="0"/>
            </w:tcBorders>
          </w:tcPr>
          <w:p w14:paraId="7921C1FD">
            <w:pPr>
              <w:pStyle w:val="28"/>
            </w:pPr>
            <w:r>
              <w:t>5→10 kWh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BEC97">
            <w:pPr>
              <w:pStyle w:val="28"/>
            </w:pPr>
            <w:r>
              <w:t>-7,621.51→-7,657.25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02311">
            <w:pPr>
              <w:pStyle w:val="28"/>
            </w:pPr>
            <w:r>
              <w:rPr>
                <w:rFonts w:hint="eastAsia"/>
              </w:rPr>
              <w:t>-35.74元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</w:tcBorders>
          </w:tcPr>
          <w:p w14:paraId="565DFE38">
            <w:pPr>
              <w:pStyle w:val="28"/>
            </w:pPr>
            <w:r>
              <w:rPr>
                <w:rFonts w:hint="eastAsia"/>
              </w:rPr>
              <w:t>显著改善</w:t>
            </w:r>
          </w:p>
        </w:tc>
      </w:tr>
      <w:tr w14:paraId="41F33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547F4">
            <w:pPr>
              <w:pStyle w:val="28"/>
            </w:pPr>
            <w:r>
              <w:t>10→15 kWh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6297D">
            <w:pPr>
              <w:pStyle w:val="28"/>
            </w:pPr>
            <w:r>
              <w:t>-7,657.25→-7,657.51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22960C">
            <w:pPr>
              <w:pStyle w:val="28"/>
            </w:pPr>
            <w:r>
              <w:rPr>
                <w:rFonts w:hint="eastAsia"/>
              </w:rPr>
              <w:t>-0.26元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CE32AF1">
            <w:pPr>
              <w:pStyle w:val="28"/>
            </w:pPr>
            <w:r>
              <w:rPr>
                <w:rFonts w:hint="eastAsia"/>
              </w:rPr>
              <w:t>极微改善</w:t>
            </w:r>
          </w:p>
        </w:tc>
      </w:tr>
      <w:tr w14:paraId="73358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3DA14">
            <w:pPr>
              <w:pStyle w:val="28"/>
            </w:pPr>
            <w:r>
              <w:t>15→20 kWh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1FAD9">
            <w:pPr>
              <w:pStyle w:val="28"/>
            </w:pPr>
            <w:r>
              <w:t>-7,657.51→-7,466.63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1188C">
            <w:pPr>
              <w:pStyle w:val="28"/>
            </w:pPr>
            <w:r>
              <w:rPr>
                <w:rFonts w:hint="eastAsia"/>
              </w:rPr>
              <w:t>+190.88元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BD771CC">
            <w:pPr>
              <w:pStyle w:val="28"/>
            </w:pPr>
            <w:r>
              <w:rPr>
                <w:rFonts w:hint="eastAsia"/>
                <w:b/>
                <w:bCs/>
              </w:rPr>
              <w:t>收益下降</w:t>
            </w:r>
          </w:p>
        </w:tc>
      </w:tr>
      <w:tr w14:paraId="6FAF5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</w:tcPr>
          <w:p w14:paraId="68C0ADAB">
            <w:pPr>
              <w:pStyle w:val="28"/>
            </w:pPr>
            <w:r>
              <w:t>20→30 kWh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2D35A74">
            <w:pPr>
              <w:pStyle w:val="28"/>
            </w:pPr>
            <w:r>
              <w:t>-7,466.63→-7,428.73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141EC1B">
            <w:pPr>
              <w:pStyle w:val="28"/>
            </w:pPr>
            <w:r>
              <w:rPr>
                <w:rFonts w:hint="eastAsia"/>
              </w:rPr>
              <w:t>+37.90元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</w:tcPr>
          <w:p w14:paraId="190BAB17">
            <w:pPr>
              <w:pStyle w:val="28"/>
            </w:pPr>
            <w:r>
              <w:rPr>
                <w:rFonts w:hint="eastAsia"/>
                <w:b/>
                <w:bCs/>
              </w:rPr>
              <w:t>收益下降</w:t>
            </w:r>
          </w:p>
        </w:tc>
      </w:tr>
    </w:tbl>
    <w:p w14:paraId="35D0246F">
      <w:pPr>
        <w:pStyle w:val="3"/>
      </w:pPr>
      <w:r>
        <w:rPr>
          <w:rFonts w:hint="eastAsia"/>
        </w:rPr>
        <w:t>当容量由15</w:t>
      </w:r>
      <w:r>
        <w:t xml:space="preserve"> </w:t>
      </w:r>
      <w:r>
        <w:rPr>
          <w:rFonts w:hint="eastAsia"/>
        </w:rPr>
        <w:t>kWh增加至30</w:t>
      </w:r>
      <w:r>
        <w:t xml:space="preserve"> </w:t>
      </w:r>
      <w:r>
        <w:rPr>
          <w:rFonts w:hint="eastAsia"/>
        </w:rPr>
        <w:t>kWh时，系统收益提升有限，而等效循环次数显著下降（160.31→100.88），表明储能利用率降低，出现资产闲置现象。</w:t>
      </w:r>
    </w:p>
    <w:p w14:paraId="0D128D78">
      <w:pPr>
        <w:pStyle w:val="3"/>
      </w:pPr>
      <w:r>
        <w:rPr>
          <w:rFonts w:hint="eastAsia"/>
          <w:b/>
          <w:bCs/>
        </w:rPr>
        <w:t>因此，储能系统的最优配置并非”越大越好”，而应在经济性与利用率之间取得平衡。</w:t>
      </w:r>
    </w:p>
    <w:p w14:paraId="1BC9F197"/>
    <w:bookmarkEnd w:id="13"/>
    <w:bookmarkEnd w:id="17"/>
    <w:p w14:paraId="2D45DBCA">
      <w:pPr>
        <w:pStyle w:val="4"/>
        <w:rPr>
          <w:color w:val="auto"/>
        </w:rPr>
      </w:pPr>
      <w:bookmarkStart w:id="18" w:name="五充放电策略优化分析"/>
      <w:r>
        <w:rPr>
          <w:rFonts w:hint="eastAsia"/>
          <w:color w:val="auto"/>
        </w:rPr>
        <w:t>五、充放电策略优化分析</w:t>
      </w:r>
    </w:p>
    <w:p w14:paraId="6C0D951E">
      <w:pPr>
        <w:pStyle w:val="5"/>
        <w:rPr>
          <w:color w:val="auto"/>
        </w:rPr>
      </w:pPr>
      <w:bookmarkStart w:id="19" w:name="三种策略设计"/>
      <w:r>
        <w:rPr>
          <w:color w:val="auto"/>
        </w:rPr>
        <w:t xml:space="preserve">5.1 </w:t>
      </w:r>
      <w:r>
        <w:rPr>
          <w:rFonts w:hint="eastAsia"/>
          <w:color w:val="auto"/>
        </w:rPr>
        <w:t>三种策略设计</w:t>
      </w:r>
    </w:p>
    <w:p w14:paraId="601E9DB4">
      <w:pPr>
        <w:pStyle w:val="27"/>
      </w:pPr>
      <w:r>
        <w:rPr>
          <w:rFonts w:hint="eastAsia"/>
        </w:rPr>
        <w:t>在最优储能配置（15</w:t>
      </w:r>
      <w:r>
        <w:t xml:space="preserve"> kWh × 10 </w:t>
      </w:r>
      <w:r>
        <w:rPr>
          <w:rFonts w:hint="eastAsia"/>
        </w:rPr>
        <w:t>kW）下，对三种策略进行对比：</w:t>
      </w:r>
    </w:p>
    <w:p w14:paraId="1194DB55">
      <w:pPr>
        <w:pStyle w:val="3"/>
      </w:pPr>
      <w:r>
        <w:rPr>
          <w:rFonts w:hint="eastAsia"/>
          <w:b/>
          <w:bCs/>
        </w:rPr>
        <w:t>策略1：基础自用策略</w:t>
      </w:r>
      <w:r>
        <w:t xml:space="preserve"> </w:t>
      </w:r>
      <w:r>
        <w:rPr>
          <w:rFonts w:hint="eastAsia"/>
        </w:rPr>
        <w:t>光伏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</w:t>
      </w:r>
      <w:r>
        <w:rPr>
          <w:rFonts w:hint="eastAsia"/>
        </w:rPr>
        <w:t>负荷：优先给储能充电，余电上网</w:t>
      </w:r>
      <w:r>
        <w:t xml:space="preserve"> </w:t>
      </w:r>
      <w:r>
        <w:rPr>
          <w:rFonts w:hint="eastAsia"/>
        </w:rPr>
        <w:t>光伏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</w:t>
      </w:r>
      <w:r>
        <w:rPr>
          <w:rFonts w:hint="eastAsia"/>
        </w:rPr>
        <w:t>负荷：优先从储能放电，不足部分从电网购电</w:t>
      </w:r>
      <w:r>
        <w:t xml:space="preserve"> </w:t>
      </w:r>
      <w:r>
        <w:rPr>
          <w:rFonts w:hint="eastAsia"/>
          <w:b/>
          <w:bCs/>
        </w:rPr>
        <w:t>不考虑电价时段，完全由能量平衡驱动</w:t>
      </w:r>
    </w:p>
    <w:p w14:paraId="16AF16A9">
      <w:pPr>
        <w:pStyle w:val="3"/>
      </w:pPr>
      <w:r>
        <w:rPr>
          <w:rFonts w:hint="eastAsia"/>
          <w:b/>
          <w:bCs/>
        </w:rPr>
        <w:t>策略2：电价驱动套利策略</w:t>
      </w:r>
      <w:r>
        <w:t xml:space="preserve"> </w:t>
      </w:r>
      <w:r>
        <w:rPr>
          <w:rFonts w:hint="eastAsia"/>
        </w:rPr>
        <w:t>光伏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</w:t>
      </w:r>
      <w:r>
        <w:rPr>
          <w:rFonts w:hint="eastAsia"/>
        </w:rPr>
        <w:t>负荷：优先充电，余电上网</w:t>
      </w:r>
      <w:r>
        <w:t xml:space="preserve"> </w:t>
      </w:r>
      <w:r>
        <w:rPr>
          <w:rFonts w:hint="eastAsia"/>
        </w:rPr>
        <w:t>光伏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</w:t>
      </w:r>
      <w:r>
        <w:rPr>
          <w:rFonts w:hint="eastAsia"/>
        </w:rPr>
        <w:t>负荷：</w:t>
      </w:r>
      <w:r>
        <w:t xml:space="preserve"> </w:t>
      </w:r>
      <w:r>
        <w:rPr>
          <w:rFonts w:hint="eastAsia"/>
        </w:rPr>
        <w:t>峰/平电价时：优先放电，不足购电</w:t>
      </w:r>
      <w:r>
        <w:t xml:space="preserve"> </w:t>
      </w:r>
      <w:r>
        <w:rPr>
          <w:rFonts w:hint="eastAsia"/>
        </w:rPr>
        <w:t>谷电价时：优先购电，若SOC过低(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)可低价充电（套利）</w:t>
      </w:r>
      <w:r>
        <w:t xml:space="preserve"> </w:t>
      </w:r>
      <w:r>
        <w:rPr>
          <w:rFonts w:hint="eastAsia"/>
        </w:rPr>
        <w:t>套利条件：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peak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valley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η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ch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η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dis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wear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0</m:t>
        </m:r>
      </m:oMath>
    </w:p>
    <w:p w14:paraId="56050F82">
      <w:pPr>
        <w:pStyle w:val="3"/>
      </w:pPr>
      <w:r>
        <w:rPr>
          <w:rFonts w:hint="eastAsia"/>
          <w:b/>
          <w:bCs/>
        </w:rPr>
        <w:t>策略3：预测型日前调度策略</w:t>
      </w:r>
      <w:r>
        <w:t xml:space="preserve"> </w:t>
      </w:r>
      <w:r>
        <w:rPr>
          <w:rFonts w:hint="eastAsia"/>
        </w:rPr>
        <w:t>根据次日光伏预测和负荷预测，在前一晚决定谷电充电量</w:t>
      </w:r>
      <w:r>
        <w:t xml:space="preserve"> </w:t>
      </w:r>
      <w:r>
        <w:rPr>
          <w:rFonts w:hint="eastAsia"/>
        </w:rPr>
        <w:t>峰电价时优先放电</w:t>
      </w:r>
      <w:r>
        <w:t xml:space="preserve"> </w:t>
      </w:r>
      <w:r>
        <w:rPr>
          <w:rFonts w:hint="eastAsia"/>
        </w:rPr>
        <w:t>平电价时保留40%</w:t>
      </w:r>
      <w:r>
        <w:t xml:space="preserve"> </w:t>
      </w:r>
      <w:r>
        <w:rPr>
          <w:rFonts w:hint="eastAsia"/>
        </w:rPr>
        <w:t>SOC保护</w:t>
      </w:r>
      <w:r>
        <w:t xml:space="preserve"> </w:t>
      </w:r>
      <w:r>
        <w:rPr>
          <w:rFonts w:hint="eastAsia"/>
        </w:rPr>
        <w:t>安全系数1.10应对预测不确定性</w:t>
      </w:r>
    </w:p>
    <w:bookmarkEnd w:id="19"/>
    <w:p w14:paraId="1B30DE52">
      <w:pPr>
        <w:pStyle w:val="5"/>
        <w:rPr>
          <w:color w:val="auto"/>
        </w:rPr>
      </w:pPr>
      <w:bookmarkStart w:id="20" w:name="策略对比结果"/>
      <w:r>
        <w:rPr>
          <w:color w:val="auto"/>
        </w:rPr>
        <w:t xml:space="preserve">5.2 </w:t>
      </w:r>
      <w:r>
        <w:rPr>
          <w:rFonts w:hint="eastAsia"/>
          <w:color w:val="auto"/>
        </w:rPr>
        <w:t>策略对比结果</w:t>
      </w:r>
    </w:p>
    <w:p w14:paraId="3CCDBF70">
      <w:pPr>
        <w:pStyle w:val="27"/>
      </w:pPr>
      <w:r>
        <w:rPr>
          <w:rFonts w:hint="eastAsia"/>
          <w:b/>
          <w:bCs/>
        </w:rPr>
        <w:t>表4：三种策略对比（15</w:t>
      </w:r>
      <w:r>
        <w:rPr>
          <w:b/>
          <w:bCs/>
        </w:rPr>
        <w:t xml:space="preserve"> kWh × 10 </w:t>
      </w:r>
      <w:r>
        <w:rPr>
          <w:rFonts w:hint="eastAsia"/>
          <w:b/>
          <w:bCs/>
        </w:rPr>
        <w:t>kW）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1275"/>
        <w:gridCol w:w="1276"/>
        <w:gridCol w:w="1134"/>
        <w:gridCol w:w="1134"/>
        <w:gridCol w:w="1276"/>
        <w:gridCol w:w="1093"/>
      </w:tblGrid>
      <w:tr w14:paraId="3D37B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75" w:type="dxa"/>
            <w:tcBorders>
              <w:bottom w:val="single" w:color="auto" w:sz="2" w:space="0"/>
            </w:tcBorders>
            <w:vAlign w:val="bottom"/>
          </w:tcPr>
          <w:p w14:paraId="3C3608C0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策略</w:t>
            </w:r>
          </w:p>
        </w:tc>
        <w:tc>
          <w:tcPr>
            <w:tcW w:w="993" w:type="dxa"/>
            <w:tcBorders>
              <w:bottom w:val="single" w:color="auto" w:sz="2" w:space="0"/>
            </w:tcBorders>
            <w:vAlign w:val="bottom"/>
          </w:tcPr>
          <w:p w14:paraId="7FFA7826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  <w:tc>
          <w:tcPr>
            <w:tcW w:w="1275" w:type="dxa"/>
            <w:tcBorders>
              <w:bottom w:val="single" w:color="auto" w:sz="2" w:space="0"/>
            </w:tcBorders>
            <w:vAlign w:val="bottom"/>
          </w:tcPr>
          <w:p w14:paraId="46E0582B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购电量(kWh)</w:t>
            </w:r>
          </w:p>
        </w:tc>
        <w:tc>
          <w:tcPr>
            <w:tcW w:w="1276" w:type="dxa"/>
            <w:tcBorders>
              <w:bottom w:val="single" w:color="auto" w:sz="2" w:space="0"/>
            </w:tcBorders>
            <w:vAlign w:val="bottom"/>
          </w:tcPr>
          <w:p w14:paraId="27A347F5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售电量(kWh)</w:t>
            </w:r>
          </w:p>
        </w:tc>
        <w:tc>
          <w:tcPr>
            <w:tcW w:w="1134" w:type="dxa"/>
            <w:tcBorders>
              <w:bottom w:val="single" w:color="auto" w:sz="2" w:space="0"/>
            </w:tcBorders>
            <w:vAlign w:val="bottom"/>
          </w:tcPr>
          <w:p w14:paraId="3E0C4FC8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纯电费(元)</w:t>
            </w:r>
          </w:p>
        </w:tc>
        <w:tc>
          <w:tcPr>
            <w:tcW w:w="1134" w:type="dxa"/>
            <w:tcBorders>
              <w:bottom w:val="single" w:color="auto" w:sz="2" w:space="0"/>
            </w:tcBorders>
            <w:vAlign w:val="bottom"/>
          </w:tcPr>
          <w:p w14:paraId="795D73F5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折损费(元)</w:t>
            </w:r>
          </w:p>
        </w:tc>
        <w:tc>
          <w:tcPr>
            <w:tcW w:w="1276" w:type="dxa"/>
            <w:tcBorders>
              <w:bottom w:val="single" w:color="auto" w:sz="2" w:space="0"/>
            </w:tcBorders>
            <w:vAlign w:val="bottom"/>
          </w:tcPr>
          <w:p w14:paraId="11368913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综合成本(元)</w:t>
            </w:r>
          </w:p>
        </w:tc>
        <w:tc>
          <w:tcPr>
            <w:tcW w:w="1093" w:type="dxa"/>
            <w:tcBorders>
              <w:bottom w:val="single" w:color="auto" w:sz="2" w:space="0"/>
            </w:tcBorders>
            <w:vAlign w:val="bottom"/>
          </w:tcPr>
          <w:p w14:paraId="7435562C">
            <w:pPr>
              <w:pStyle w:val="28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等效循环次数</w:t>
            </w:r>
          </w:p>
        </w:tc>
      </w:tr>
      <w:tr w14:paraId="48E8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2" w:space="0"/>
              <w:bottom w:val="single" w:color="auto" w:sz="4" w:space="0"/>
              <w:right w:val="single" w:color="auto" w:sz="4" w:space="0"/>
            </w:tcBorders>
          </w:tcPr>
          <w:p w14:paraId="1EBF8830">
            <w:pPr>
              <w:pStyle w:val="28"/>
            </w:pPr>
            <w:r>
              <w:t>1</w:t>
            </w:r>
          </w:p>
        </w:tc>
        <w:tc>
          <w:tcPr>
            <w:tcW w:w="993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86737">
            <w:pPr>
              <w:pStyle w:val="28"/>
            </w:pPr>
            <w:r>
              <w:rPr>
                <w:rFonts w:hint="eastAsia"/>
              </w:rPr>
              <w:t>基础自用</w:t>
            </w:r>
          </w:p>
        </w:tc>
        <w:tc>
          <w:tcPr>
            <w:tcW w:w="1275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C7149">
            <w:pPr>
              <w:pStyle w:val="28"/>
            </w:pPr>
            <w:r>
              <w:t>1,027.32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2E23A">
            <w:pPr>
              <w:pStyle w:val="28"/>
            </w:pPr>
            <w:r>
              <w:t>21,757.04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D8358">
            <w:pPr>
              <w:pStyle w:val="28"/>
            </w:pPr>
            <w:r>
              <w:t>-8,267.05</w:t>
            </w:r>
          </w:p>
        </w:tc>
        <w:tc>
          <w:tcPr>
            <w:tcW w:w="113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48A41">
            <w:pPr>
              <w:pStyle w:val="28"/>
            </w:pPr>
            <w:r>
              <w:t>609.54</w:t>
            </w:r>
          </w:p>
        </w:tc>
        <w:tc>
          <w:tcPr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8BDCD">
            <w:pPr>
              <w:pStyle w:val="28"/>
            </w:pPr>
            <w:r>
              <w:t>-7,657.51</w:t>
            </w:r>
          </w:p>
        </w:tc>
        <w:tc>
          <w:tcPr>
            <w:tcW w:w="1093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</w:tcBorders>
          </w:tcPr>
          <w:p w14:paraId="42762150">
            <w:pPr>
              <w:pStyle w:val="28"/>
            </w:pPr>
            <w:r>
              <w:t>160.31</w:t>
            </w:r>
          </w:p>
        </w:tc>
      </w:tr>
      <w:tr w14:paraId="0C9B5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1A6A1">
            <w:pPr>
              <w:pStyle w:val="28"/>
            </w:pPr>
            <w:r>
              <w:rPr>
                <w:b/>
                <w:bCs/>
              </w:rPr>
              <w:t>2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22DCE">
            <w:pPr>
              <w:pStyle w:val="28"/>
            </w:pPr>
            <w:r>
              <w:rPr>
                <w:rFonts w:hint="eastAsia"/>
                <w:b/>
                <w:bCs/>
              </w:rPr>
              <w:t>峰谷套利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3FDF9">
            <w:pPr>
              <w:pStyle w:val="28"/>
            </w:pPr>
            <w:r>
              <w:t>2,757.63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2ED88">
            <w:pPr>
              <w:pStyle w:val="28"/>
            </w:pPr>
            <w:r>
              <w:t>23,488.88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F5D75">
            <w:pPr>
              <w:pStyle w:val="28"/>
            </w:pPr>
            <w:r>
              <w:rPr>
                <w:b/>
                <w:bCs/>
              </w:rPr>
              <w:t>-8,395.98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156A8">
            <w:pPr>
              <w:pStyle w:val="28"/>
            </w:pPr>
            <w:r>
              <w:rPr>
                <w:b/>
                <w:bCs/>
              </w:rPr>
              <w:t>605.19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615F7">
            <w:pPr>
              <w:pStyle w:val="28"/>
            </w:pPr>
            <w:r>
              <w:rPr>
                <w:b/>
                <w:bCs/>
              </w:rPr>
              <w:t>-7,790.79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29581A5">
            <w:pPr>
              <w:pStyle w:val="28"/>
            </w:pPr>
            <w:r>
              <w:t>159.34</w:t>
            </w:r>
          </w:p>
        </w:tc>
      </w:tr>
      <w:tr w14:paraId="2F020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tcBorders>
              <w:top w:val="single" w:color="auto" w:sz="4" w:space="0"/>
              <w:right w:val="single" w:color="auto" w:sz="4" w:space="0"/>
            </w:tcBorders>
          </w:tcPr>
          <w:p w14:paraId="3DDBAD06">
            <w:pPr>
              <w:pStyle w:val="28"/>
            </w:pPr>
            <w:r>
              <w:t>3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F899CC4">
            <w:pPr>
              <w:pStyle w:val="28"/>
            </w:pPr>
            <w:r>
              <w:rPr>
                <w:rFonts w:hint="eastAsia"/>
              </w:rPr>
              <w:t>预测型调度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D4FE005">
            <w:pPr>
              <w:pStyle w:val="28"/>
            </w:pPr>
            <w:r>
              <w:t>1,787.23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C521156">
            <w:pPr>
              <w:pStyle w:val="28"/>
            </w:pPr>
            <w:r>
              <w:t>22,692.13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36FCAD6">
            <w:pPr>
              <w:pStyle w:val="28"/>
            </w:pPr>
            <w:r>
              <w:t>-8,165.27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2C54F3B">
            <w:pPr>
              <w:pStyle w:val="28"/>
            </w:pPr>
            <w:r>
              <w:t>492.02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67D5BF4">
            <w:pPr>
              <w:pStyle w:val="28"/>
            </w:pPr>
            <w:r>
              <w:t>-7,673.24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</w:tcBorders>
          </w:tcPr>
          <w:p w14:paraId="223D9175">
            <w:pPr>
              <w:pStyle w:val="28"/>
            </w:pPr>
            <w:r>
              <w:t>129.41</w:t>
            </w:r>
          </w:p>
        </w:tc>
      </w:tr>
      <w:bookmarkEnd w:id="20"/>
    </w:tbl>
    <w:p w14:paraId="7C921A75">
      <w:pPr>
        <w:pStyle w:val="5"/>
        <w:rPr>
          <w:color w:val="auto"/>
        </w:rPr>
      </w:pPr>
      <w:bookmarkStart w:id="21" w:name="策略分析"/>
      <w:r>
        <w:rPr>
          <w:color w:val="auto"/>
        </w:rPr>
        <w:t xml:space="preserve">5.3 </w:t>
      </w:r>
      <w:r>
        <w:rPr>
          <w:rFonts w:hint="eastAsia"/>
          <w:color w:val="auto"/>
        </w:rPr>
        <w:t>策略分析</w:t>
      </w:r>
    </w:p>
    <w:p w14:paraId="0C0DF3E4">
      <w:pPr>
        <w:pStyle w:val="27"/>
      </w:pPr>
      <w:r>
        <w:rPr>
          <w:rFonts w:hint="eastAsia"/>
          <w:b/>
          <w:bCs/>
        </w:rPr>
        <w:t>策略2（峰谷套利）在当前电价机制下取得最优经济性表现。</w:t>
      </w:r>
    </w:p>
    <w:p w14:paraId="0E522F33">
      <w:pPr>
        <w:pStyle w:val="3"/>
      </w:pPr>
      <w:r>
        <w:rPr>
          <w:rFonts w:hint="eastAsia"/>
        </w:rPr>
        <w:t>根本原因分析：</w:t>
      </w:r>
    </w:p>
    <w:p w14:paraId="01E961F1">
      <w:pPr>
        <w:pStyle w:val="28"/>
        <w:numPr>
          <w:ilvl w:val="0"/>
          <w:numId w:val="2"/>
        </w:numPr>
      </w:pPr>
      <w:r>
        <w:rPr>
          <w:rFonts w:hint="eastAsia"/>
          <w:b/>
          <w:bCs/>
        </w:rPr>
        <w:t>电价结构特性</w:t>
      </w:r>
      <w:r>
        <w:rPr>
          <w:rFonts w:hint="eastAsia"/>
        </w:rPr>
        <w:t>：当前电价结构中，峰电价(0.677元)与平电价(0.667元)差异仅0.01元</w:t>
      </w:r>
    </w:p>
    <w:p w14:paraId="715F06AE">
      <w:pPr>
        <w:pStyle w:val="28"/>
        <w:numPr>
          <w:ilvl w:val="0"/>
          <w:numId w:val="2"/>
        </w:numPr>
      </w:pPr>
      <w:r>
        <w:rPr>
          <w:rFonts w:hint="eastAsia"/>
          <w:b/>
          <w:bCs/>
        </w:rPr>
        <w:t>套利空间</w:t>
      </w:r>
      <w:r>
        <w:rPr>
          <w:rFonts w:hint="eastAsia"/>
        </w:rPr>
        <w:t>：上网电价(0.40元)与谷电价(0.337元)之间存在显著价差(0.063元)</w:t>
      </w:r>
    </w:p>
    <w:p w14:paraId="659040E4">
      <w:pPr>
        <w:pStyle w:val="28"/>
        <w:numPr>
          <w:ilvl w:val="0"/>
          <w:numId w:val="2"/>
        </w:numPr>
      </w:pPr>
      <w:r>
        <w:rPr>
          <w:rFonts w:hint="eastAsia"/>
          <w:b/>
          <w:bCs/>
        </w:rPr>
        <w:t>套利利润计算</w:t>
      </w:r>
      <w:r>
        <w:rPr>
          <w:rFonts w:hint="eastAsia"/>
        </w:rPr>
        <w:t>：</w:t>
      </w:r>
    </w:p>
    <w:p w14:paraId="6A164929">
      <w:pPr>
        <w:pStyle w:val="27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sz w:val="21"/>
              <w:szCs w:val="21"/>
            </w:rPr>
            <m:t>套利利润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peak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valley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ch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dis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wear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0.677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0.337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0.81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0.15625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0.105</m:t>
          </m:r>
          <m:r>
            <m:rPr>
              <m:nor/>
              <m:sty m:val="p"/>
            </m:rPr>
            <m:t>元/kWh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/>
            <w:rPr>
              <w:rFonts w:ascii="Cambria Math" w:hAnsi="Cambria Math"/>
            </w:rPr>
            <m:t>0</m:t>
          </m:r>
        </m:oMath>
      </m:oMathPara>
    </w:p>
    <w:p w14:paraId="74019E08">
      <w:pPr>
        <w:pStyle w:val="28"/>
        <w:numPr>
          <w:ilvl w:val="0"/>
          <w:numId w:val="3"/>
        </w:numPr>
      </w:pPr>
      <w:r>
        <w:rPr>
          <w:rFonts w:hint="eastAsia"/>
        </w:rPr>
        <w:t>使得”低价购电+高价售电”的套利模式具有经济优势</w:t>
      </w:r>
    </w:p>
    <w:p w14:paraId="7D188792">
      <w:pPr>
        <w:pStyle w:val="27"/>
      </w:pPr>
      <w:r>
        <w:rPr>
          <w:rFonts w:hint="eastAsia"/>
        </w:rPr>
        <w:t>策略3由于设置了较高的保电约束（40%</w:t>
      </w:r>
      <w:r>
        <w:t xml:space="preserve"> </w:t>
      </w:r>
      <w:r>
        <w:rPr>
          <w:rFonts w:hint="eastAsia"/>
        </w:rPr>
        <w:t>SOC保留），限制了储能在白天的灵活性，未能充分利用价格差异，导致整体收益下降。</w:t>
      </w:r>
    </w:p>
    <w:p w14:paraId="3115F72F">
      <w:pPr>
        <w:pStyle w:val="13"/>
      </w:pPr>
      <w:r>
        <w:rPr>
          <w:rFonts w:hint="eastAsia"/>
        </w:rPr>
        <w:t>需要强调的是，策略3的性能依赖于电价结构。在峰谷价差更大的市场环境下，其基于预测的调度能力可能表现出更优性能。</w:t>
      </w:r>
    </w:p>
    <w:p w14:paraId="32B88564"/>
    <w:bookmarkEnd w:id="18"/>
    <w:bookmarkEnd w:id="21"/>
    <w:p w14:paraId="6BE21375">
      <w:pPr>
        <w:pStyle w:val="4"/>
        <w:rPr>
          <w:color w:val="auto"/>
        </w:rPr>
      </w:pPr>
      <w:bookmarkStart w:id="22" w:name="六结果分析与讨论"/>
      <w:r>
        <w:rPr>
          <w:rFonts w:hint="eastAsia"/>
          <w:color w:val="auto"/>
        </w:rPr>
        <w:t>六、结果分析与讨论</w:t>
      </w:r>
    </w:p>
    <w:p w14:paraId="5B11704E">
      <w:pPr>
        <w:pStyle w:val="5"/>
        <w:rPr>
          <w:color w:val="auto"/>
        </w:rPr>
      </w:pPr>
      <w:bookmarkStart w:id="23" w:name="ev对系统影响分析"/>
      <w:r>
        <w:rPr>
          <w:color w:val="auto"/>
        </w:rPr>
        <w:t xml:space="preserve">6.1 </w:t>
      </w:r>
      <w:r>
        <w:rPr>
          <w:rFonts w:hint="eastAsia"/>
          <w:color w:val="auto"/>
        </w:rPr>
        <w:t>EV对系统影响分析</w:t>
      </w:r>
    </w:p>
    <w:p w14:paraId="470E4377">
      <w:pPr>
        <w:pStyle w:val="27"/>
      </w:pPr>
      <w:r>
        <w:rPr>
          <w:rFonts w:hint="eastAsia"/>
        </w:rPr>
        <w:t>EV的接入显著增加晚高峰负荷，并提高购电成本:年用电量增加28.1%（从5,840增至7,482.5</w:t>
      </w:r>
      <w:r>
        <w:t xml:space="preserve"> </w:t>
      </w:r>
      <w:r>
        <w:rPr>
          <w:rFonts w:hint="eastAsia"/>
        </w:rPr>
        <w:t>kWh）</w:t>
      </w:r>
      <w:r>
        <w:t>,</w:t>
      </w:r>
      <w:r>
        <w:rPr>
          <w:rFonts w:hint="eastAsia"/>
        </w:rPr>
        <w:t>晚高峰负荷增加280%（从2.5增至</w:t>
      </w:r>
      <w:r>
        <w:t xml:space="preserve">9.5 </w:t>
      </w:r>
      <w:r>
        <w:rPr>
          <w:rFonts w:hint="eastAsia"/>
        </w:rPr>
        <w:t>kW</w:t>
      </w:r>
      <w:r>
        <w:t>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充电购电发生在电价峰段，成本高</w:t>
      </w:r>
    </w:p>
    <w:p w14:paraId="093F11FD">
      <w:pPr>
        <w:pStyle w:val="3"/>
      </w:pPr>
      <w:r>
        <w:rPr>
          <w:rFonts w:hint="eastAsia"/>
        </w:rPr>
        <w:t>EV是系统优化的核心驱动因素，储能系统的主要作用即为缓解EV充电与高峰电价的重叠问题。</w:t>
      </w:r>
    </w:p>
    <w:bookmarkEnd w:id="23"/>
    <w:p w14:paraId="53A1BDA6">
      <w:pPr>
        <w:pStyle w:val="5"/>
        <w:rPr>
          <w:color w:val="auto"/>
        </w:rPr>
      </w:pPr>
      <w:bookmarkStart w:id="24" w:name="储能容量影响分析"/>
      <w:r>
        <w:rPr>
          <w:color w:val="auto"/>
        </w:rPr>
        <w:t xml:space="preserve">6.2 </w:t>
      </w:r>
      <w:r>
        <w:rPr>
          <w:rFonts w:hint="eastAsia"/>
          <w:color w:val="auto"/>
        </w:rPr>
        <w:t>储能容量影响分析</w:t>
      </w:r>
    </w:p>
    <w:p w14:paraId="7EF55F9E">
      <w:pPr>
        <w:pStyle w:val="27"/>
      </w:pPr>
      <w:r>
        <w:rPr>
          <w:rFonts w:hint="eastAsia"/>
        </w:rPr>
        <w:t>储能容量增加并不必然带来经济性提升:</w:t>
      </w:r>
      <w:r>
        <w:rPr>
          <w:rFonts w:hint="eastAsia"/>
          <w:b/>
          <w:bCs/>
        </w:rPr>
        <w:t>小容量（5-10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kWh</w:t>
      </w:r>
      <w:r>
        <w:rPr>
          <w:b/>
          <w:bCs/>
        </w:rPr>
        <w:t>）:</w:t>
      </w:r>
      <w:r>
        <w:rPr>
          <w:rFonts w:hint="eastAsia"/>
        </w:rPr>
        <w:t>循环利用率高，但削峰能力有限</w:t>
      </w:r>
      <w:r>
        <w:t>;</w:t>
      </w:r>
      <w:r>
        <w:rPr>
          <w:rFonts w:hint="eastAsia"/>
          <w:b/>
          <w:bCs/>
        </w:rPr>
        <w:t>中容量（15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kWh）</w:t>
      </w:r>
      <w:r>
        <w:rPr>
          <w:rFonts w:hint="eastAsia"/>
        </w:rPr>
        <w:t>:最优平衡点，经济性最佳</w:t>
      </w:r>
      <w:r>
        <w:t xml:space="preserve">; </w:t>
      </w:r>
      <w:r>
        <w:rPr>
          <w:rFonts w:hint="eastAsia"/>
          <w:b/>
          <w:bCs/>
        </w:rPr>
        <w:t>大容量（20-30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kWh）</w:t>
      </w:r>
      <w:r>
        <w:rPr>
          <w:rFonts w:hint="eastAsia"/>
        </w:rPr>
        <w:t>：边际收益递减，资产闲置</w:t>
      </w:r>
    </w:p>
    <w:p w14:paraId="26623A32">
      <w:pPr>
        <w:pStyle w:val="3"/>
      </w:pPr>
      <w:r>
        <w:rPr>
          <w:rFonts w:hint="eastAsia"/>
        </w:rPr>
        <w:t>收益受电价结构及负荷特性共同制约，最优配置需在经济性与利用率之间取得平衡。</w:t>
      </w:r>
    </w:p>
    <w:bookmarkEnd w:id="24"/>
    <w:p w14:paraId="215F4524">
      <w:pPr>
        <w:pStyle w:val="5"/>
        <w:rPr>
          <w:color w:val="auto"/>
        </w:rPr>
      </w:pPr>
      <w:bookmarkStart w:id="25" w:name="储能功率影响分析"/>
      <w:r>
        <w:rPr>
          <w:color w:val="auto"/>
        </w:rPr>
        <w:t xml:space="preserve">6.3 </w:t>
      </w:r>
      <w:r>
        <w:rPr>
          <w:rFonts w:hint="eastAsia"/>
          <w:color w:val="auto"/>
        </w:rPr>
        <w:t>储能功率影响分析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4164"/>
      </w:tblGrid>
      <w:tr w14:paraId="1C03F1DC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EEC39A9">
            <w:pPr>
              <w:pStyle w:val="28"/>
            </w:pPr>
            <w:r>
              <w:rPr>
                <w:rFonts w:hint="eastAsia"/>
              </w:rPr>
              <w:t>功率配置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76D0274">
            <w:pPr>
              <w:pStyle w:val="28"/>
            </w:pPr>
            <w:r>
              <w:rPr>
                <w:rFonts w:hint="eastAsia"/>
              </w:rPr>
              <w:t>影响</w:t>
            </w:r>
          </w:p>
        </w:tc>
      </w:tr>
      <w:tr w14:paraId="46E8E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6256F8">
            <w:pPr>
              <w:pStyle w:val="28"/>
            </w:pPr>
            <w:r>
              <w:rPr>
                <w:rFonts w:hint="eastAsia"/>
              </w:rPr>
              <w:t>功率过小（2-3</w:t>
            </w:r>
            <w:r>
              <w:t xml:space="preserve"> </w:t>
            </w:r>
            <w:r>
              <w:rPr>
                <w:rFonts w:hint="eastAsia"/>
              </w:rPr>
              <w:t>kW）</w:t>
            </w:r>
          </w:p>
        </w:tc>
        <w:tc>
          <w:tcPr>
            <w:tcW w:w="0" w:type="auto"/>
          </w:tcPr>
          <w:p w14:paraId="7DAF3DF5">
            <w:pPr>
              <w:pStyle w:val="28"/>
            </w:pPr>
            <w:r>
              <w:rPr>
                <w:rFonts w:hint="eastAsia"/>
              </w:rPr>
              <w:t>限制削峰能力，购电峰值高(~6.68</w:t>
            </w:r>
            <w:r>
              <w:t xml:space="preserve"> kW)</w:t>
            </w:r>
          </w:p>
        </w:tc>
      </w:tr>
      <w:tr w14:paraId="6C4A1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D9D865">
            <w:pPr>
              <w:pStyle w:val="28"/>
            </w:pPr>
            <w:r>
              <w:rPr>
                <w:rFonts w:hint="eastAsia"/>
              </w:rPr>
              <w:t>功率适中（5-7</w:t>
            </w:r>
            <w:r>
              <w:t xml:space="preserve"> </w:t>
            </w:r>
            <w:r>
              <w:rPr>
                <w:rFonts w:hint="eastAsia"/>
              </w:rPr>
              <w:t>kW）</w:t>
            </w:r>
          </w:p>
        </w:tc>
        <w:tc>
          <w:tcPr>
            <w:tcW w:w="0" w:type="auto"/>
          </w:tcPr>
          <w:p w14:paraId="134F8265">
            <w:pPr>
              <w:pStyle w:val="28"/>
            </w:pPr>
            <w:r>
              <w:rPr>
                <w:rFonts w:hint="eastAsia"/>
              </w:rPr>
              <w:t>削峰效果明显，性价比高</w:t>
            </w:r>
          </w:p>
        </w:tc>
      </w:tr>
      <w:tr w14:paraId="3B568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99F96D">
            <w:pPr>
              <w:pStyle w:val="28"/>
            </w:pPr>
            <w:r>
              <w:rPr>
                <w:rFonts w:hint="eastAsia"/>
              </w:rPr>
              <w:t>功率过大（10</w:t>
            </w:r>
            <w:r>
              <w:t xml:space="preserve"> </w:t>
            </w:r>
            <w:r>
              <w:rPr>
                <w:rFonts w:hint="eastAsia"/>
              </w:rPr>
              <w:t>kW）</w:t>
            </w:r>
          </w:p>
        </w:tc>
        <w:tc>
          <w:tcPr>
            <w:tcW w:w="0" w:type="auto"/>
          </w:tcPr>
          <w:p w14:paraId="1802B7EC">
            <w:pPr>
              <w:pStyle w:val="28"/>
            </w:pPr>
            <w:r>
              <w:rPr>
                <w:rFonts w:hint="eastAsia"/>
              </w:rPr>
              <w:t>超过实际需求，设备投资浪费</w:t>
            </w:r>
          </w:p>
        </w:tc>
      </w:tr>
      <w:bookmarkEnd w:id="25"/>
    </w:tbl>
    <w:p w14:paraId="0264C442">
      <w:pPr>
        <w:pStyle w:val="5"/>
        <w:rPr>
          <w:color w:val="auto"/>
        </w:rPr>
      </w:pPr>
      <w:bookmarkStart w:id="26" w:name="关键影响因素分析"/>
      <w:r>
        <w:rPr>
          <w:color w:val="auto"/>
        </w:rPr>
        <w:t xml:space="preserve">6.4 </w:t>
      </w:r>
      <w:r>
        <w:rPr>
          <w:rFonts w:hint="eastAsia"/>
          <w:color w:val="auto"/>
        </w:rPr>
        <w:t>关键影响因素分析</w:t>
      </w:r>
    </w:p>
    <w:p w14:paraId="6EC9D065">
      <w:pPr>
        <w:pStyle w:val="27"/>
      </w:pPr>
      <w:r>
        <w:rPr>
          <w:rFonts w:hint="eastAsia"/>
        </w:rPr>
        <w:t>综合分析表明，对系统经济性影响从大到小排序为：</w:t>
      </w:r>
    </w:p>
    <w:p w14:paraId="4F4CAA47">
      <w:pPr>
        <w:pStyle w:val="28"/>
        <w:numPr>
          <w:ilvl w:val="0"/>
          <w:numId w:val="4"/>
        </w:numPr>
      </w:pPr>
      <w:r>
        <w:rPr>
          <w:rFonts w:hint="eastAsia"/>
          <w:b/>
          <w:bCs/>
        </w:rPr>
        <w:t>电价机制与调度策略</w:t>
      </w:r>
      <w:r>
        <w:rPr>
          <w:rFonts w:hint="eastAsia"/>
        </w:rPr>
        <w:t>（影响最大）</w:t>
      </w:r>
    </w:p>
    <w:p w14:paraId="4B2D52D0">
      <w:pPr>
        <w:pStyle w:val="28"/>
        <w:numPr>
          <w:ilvl w:val="0"/>
          <w:numId w:val="4"/>
        </w:numPr>
      </w:pPr>
      <w:r>
        <w:rPr>
          <w:rFonts w:hint="eastAsia"/>
          <w:b/>
          <w:bCs/>
        </w:rPr>
        <w:t>储能容量配置</w:t>
      </w:r>
    </w:p>
    <w:p w14:paraId="24CEDA6B">
      <w:pPr>
        <w:pStyle w:val="28"/>
        <w:numPr>
          <w:ilvl w:val="0"/>
          <w:numId w:val="4"/>
        </w:numPr>
      </w:pPr>
      <w:r>
        <w:rPr>
          <w:rFonts w:hint="eastAsia"/>
          <w:b/>
          <w:bCs/>
        </w:rPr>
        <w:t>负荷特性与EV充电方式</w:t>
      </w:r>
    </w:p>
    <w:p w14:paraId="2E9E0115">
      <w:pPr>
        <w:pStyle w:val="28"/>
        <w:numPr>
          <w:ilvl w:val="0"/>
          <w:numId w:val="4"/>
        </w:numPr>
      </w:pPr>
      <w:r>
        <w:rPr>
          <w:rFonts w:hint="eastAsia"/>
          <w:b/>
          <w:bCs/>
        </w:rPr>
        <w:t>光伏容量</w:t>
      </w:r>
    </w:p>
    <w:p w14:paraId="7E9C3DAB">
      <w:pPr>
        <w:pStyle w:val="27"/>
      </w:pPr>
      <w:r>
        <w:rPr>
          <w:rFonts w:hint="eastAsia"/>
        </w:rPr>
        <w:t>此外，未来可通过敏感性分析进一步研究电价、光伏容量及用户行为变化对系统性能的影响。</w:t>
      </w:r>
    </w:p>
    <w:bookmarkEnd w:id="26"/>
    <w:p w14:paraId="4AF6CE6B">
      <w:pPr>
        <w:pStyle w:val="5"/>
        <w:rPr>
          <w:color w:val="auto"/>
        </w:rPr>
      </w:pPr>
      <w:bookmarkStart w:id="27" w:name="电池折损成本的影响"/>
      <w:r>
        <w:rPr>
          <w:color w:val="auto"/>
        </w:rPr>
        <w:t xml:space="preserve">6.5 </w:t>
      </w:r>
      <w:r>
        <w:rPr>
          <w:rFonts w:hint="eastAsia"/>
          <w:color w:val="auto"/>
        </w:rPr>
        <w:t>电池折损成本的影响</w:t>
      </w:r>
    </w:p>
    <w:p w14:paraId="7959BE1A">
      <w:pPr>
        <w:pStyle w:val="27"/>
      </w:pPr>
      <w:r>
        <w:rPr>
          <w:rFonts w:hint="eastAsia"/>
        </w:rPr>
        <w:t>引入折损成本后，优化目标从单纯的电费最小化转变为综合成本最小化：</w:t>
      </w:r>
      <w:r>
        <w:t xml:space="preserve"> </w:t>
      </w:r>
      <w:r>
        <w:rPr>
          <w:rFonts w:hint="eastAsia"/>
        </w:rPr>
        <w:t>策略2的纯电费最优(-8,395.98元)，折损成本也较高(605.19元)</w:t>
      </w:r>
      <w:r>
        <w:t xml:space="preserve"> </w:t>
      </w:r>
      <w:r>
        <w:rPr>
          <w:rFonts w:hint="eastAsia"/>
        </w:rPr>
        <w:t>折损成本约束了储能的过度使用</w:t>
      </w:r>
      <w:r>
        <w:t xml:space="preserve"> </w:t>
      </w:r>
      <w:r>
        <w:rPr>
          <w:rFonts w:hint="eastAsia"/>
        </w:rPr>
        <w:t>在优化中平衡了短期收益与电池寿命</w:t>
      </w:r>
      <w:r>
        <w:t xml:space="preserve"> </w:t>
      </w:r>
      <w:r>
        <w:rPr>
          <w:rFonts w:hint="eastAsia"/>
        </w:rPr>
        <w:t>更符合实际工程应用场景</w:t>
      </w:r>
    </w:p>
    <w:bookmarkEnd w:id="27"/>
    <w:p w14:paraId="02DEE67B">
      <w:pPr>
        <w:pStyle w:val="5"/>
        <w:rPr>
          <w:color w:val="auto"/>
        </w:rPr>
      </w:pPr>
      <w:bookmarkStart w:id="28" w:name="折损成本对策略选择的影响"/>
      <w:r>
        <w:rPr>
          <w:color w:val="auto"/>
        </w:rPr>
        <w:t xml:space="preserve">6.6 </w:t>
      </w:r>
      <w:r>
        <w:rPr>
          <w:rFonts w:hint="eastAsia"/>
          <w:color w:val="auto"/>
        </w:rPr>
        <w:t>折损成本对策略选择的影响</w:t>
      </w:r>
    </w:p>
    <w:p w14:paraId="3C3CBA0D">
      <w:pPr>
        <w:pStyle w:val="27"/>
      </w:pPr>
      <w:r>
        <w:rPr>
          <w:rFonts w:hint="eastAsia"/>
        </w:rPr>
        <w:t>引入折损成本后，策略选择需要权衡：</w:t>
      </w:r>
      <w:r>
        <w:t xml:space="preserve"> </w:t>
      </w:r>
      <w:r>
        <w:rPr>
          <w:rFonts w:hint="eastAsia"/>
          <w:b/>
          <w:bCs/>
        </w:rPr>
        <w:t>策略1</w:t>
      </w:r>
      <w:r>
        <w:rPr>
          <w:rFonts w:hint="eastAsia"/>
        </w:rPr>
        <w:t>：充放电次数最多(160.31次)，折损成本高(609.54元)</w:t>
      </w:r>
      <w:r>
        <w:t xml:space="preserve"> </w:t>
      </w:r>
      <w:r>
        <w:rPr>
          <w:rFonts w:hint="eastAsia"/>
        </w:rPr>
        <w:t>；</w:t>
      </w:r>
      <w:r>
        <w:rPr>
          <w:rFonts w:hint="eastAsia"/>
          <w:b/>
          <w:bCs/>
        </w:rPr>
        <w:t>策略2</w:t>
      </w:r>
      <w:r>
        <w:rPr>
          <w:rFonts w:hint="eastAsia"/>
        </w:rPr>
        <w:t>：充放电次数适中(159.34次)，折损成本略低(605.19元)，收益最高</w:t>
      </w:r>
      <w:r>
        <w:t xml:space="preserve"> </w:t>
      </w:r>
      <w:r>
        <w:rPr>
          <w:rFonts w:hint="eastAsia"/>
        </w:rPr>
        <w:t>；</w:t>
      </w:r>
      <w:r>
        <w:rPr>
          <w:rFonts w:hint="eastAsia"/>
          <w:b/>
          <w:bCs/>
        </w:rPr>
        <w:t>策略3</w:t>
      </w:r>
      <w:r>
        <w:rPr>
          <w:rFonts w:hint="eastAsia"/>
        </w:rPr>
        <w:t>：充放电次数最少(129.41次)，折损成本最低(492.02元)，但收益不如策略2</w:t>
      </w:r>
    </w:p>
    <w:p w14:paraId="00BA5580">
      <w:pPr>
        <w:pStyle w:val="3"/>
      </w:pPr>
      <w:r>
        <w:rPr>
          <w:rFonts w:hint="eastAsia"/>
        </w:rPr>
        <w:t>折损成本的引入使得策略的比较更加全面，反映了电池老化对经济性的影响。</w:t>
      </w:r>
    </w:p>
    <w:p w14:paraId="076ED2A4"/>
    <w:bookmarkEnd w:id="22"/>
    <w:bookmarkEnd w:id="28"/>
    <w:p w14:paraId="41938777">
      <w:pPr>
        <w:pStyle w:val="4"/>
        <w:rPr>
          <w:color w:val="auto"/>
        </w:rPr>
      </w:pPr>
      <w:bookmarkStart w:id="29" w:name="七结论"/>
      <w:r>
        <w:rPr>
          <w:rFonts w:hint="eastAsia"/>
          <w:color w:val="auto"/>
        </w:rPr>
        <w:t>七、结论</w:t>
      </w:r>
    </w:p>
    <w:p w14:paraId="53C0B3D0">
      <w:pPr>
        <w:pStyle w:val="27"/>
      </w:pPr>
      <w:r>
        <w:rPr>
          <w:rFonts w:hint="eastAsia"/>
        </w:rPr>
        <w:t>本文构建了考虑光伏、储能与电动汽车的家庭微电网全年仿真模型，并完成了储能选型与调度策略优化分析。</w:t>
      </w:r>
    </w:p>
    <w:p w14:paraId="22BF10F9">
      <w:pPr>
        <w:pStyle w:val="5"/>
        <w:rPr>
          <w:color w:val="auto"/>
        </w:rPr>
      </w:pPr>
      <w:bookmarkStart w:id="30" w:name="主要结论"/>
      <w:r>
        <w:rPr>
          <w:rFonts w:hint="eastAsia"/>
          <w:color w:val="auto"/>
        </w:rPr>
        <w:t>主要结论</w:t>
      </w:r>
    </w:p>
    <w:p w14:paraId="16FAF534">
      <w:pPr>
        <w:pStyle w:val="28"/>
        <w:numPr>
          <w:ilvl w:val="0"/>
          <w:numId w:val="5"/>
        </w:numPr>
      </w:pPr>
      <w:r>
        <w:rPr>
          <w:rFonts w:hint="eastAsia"/>
          <w:b/>
          <w:bCs/>
        </w:rPr>
        <w:t>最优储能配置</w:t>
      </w:r>
      <w:r>
        <w:rPr>
          <w:rFonts w:hint="eastAsia"/>
        </w:rPr>
        <w:t>：15</w:t>
      </w:r>
      <w:r>
        <w:t xml:space="preserve"> kWh × 10 </w:t>
      </w:r>
      <w:r>
        <w:rPr>
          <w:rFonts w:hint="eastAsia"/>
        </w:rPr>
        <w:t>kW，年综合成本可达-7,657.51元（净收益）</w:t>
      </w:r>
    </w:p>
    <w:p w14:paraId="349D9014">
      <w:pPr>
        <w:pStyle w:val="28"/>
        <w:numPr>
          <w:ilvl w:val="0"/>
          <w:numId w:val="5"/>
        </w:numPr>
      </w:pPr>
      <w:r>
        <w:rPr>
          <w:rFonts w:hint="eastAsia"/>
          <w:b/>
          <w:bCs/>
        </w:rPr>
        <w:t>最优策略</w:t>
      </w:r>
      <w:r>
        <w:rPr>
          <w:rFonts w:hint="eastAsia"/>
        </w:rPr>
        <w:t>：在当前电价机制下，基于电价套利的策略2具有最佳经济性（-7,790.79元）</w:t>
      </w:r>
    </w:p>
    <w:p w14:paraId="1BAD0DFC">
      <w:pPr>
        <w:pStyle w:val="28"/>
        <w:numPr>
          <w:ilvl w:val="0"/>
          <w:numId w:val="5"/>
        </w:numPr>
      </w:pPr>
      <w:r>
        <w:rPr>
          <w:rFonts w:hint="eastAsia"/>
          <w:b/>
          <w:bCs/>
        </w:rPr>
        <w:t>边际效应</w:t>
      </w:r>
      <w:r>
        <w:rPr>
          <w:rFonts w:hint="eastAsia"/>
        </w:rPr>
        <w:t>：储能容量存在明显的最优区间，并非”越大越好”</w:t>
      </w:r>
    </w:p>
    <w:p w14:paraId="58FE314C">
      <w:pPr>
        <w:pStyle w:val="28"/>
        <w:numPr>
          <w:ilvl w:val="0"/>
          <w:numId w:val="5"/>
        </w:numPr>
      </w:pPr>
      <w:r>
        <w:rPr>
          <w:rFonts w:hint="eastAsia"/>
          <w:b/>
          <w:bCs/>
        </w:rPr>
        <w:t>EV影响</w:t>
      </w:r>
      <w:r>
        <w:rPr>
          <w:rFonts w:hint="eastAsia"/>
        </w:rPr>
        <w:t>：EV的接入显著增加系统运行成本，是储能配置的核心驱动力</w:t>
      </w:r>
    </w:p>
    <w:p w14:paraId="2AB605A8">
      <w:pPr>
        <w:pStyle w:val="28"/>
        <w:numPr>
          <w:ilvl w:val="0"/>
          <w:numId w:val="5"/>
        </w:numPr>
      </w:pPr>
      <w:r>
        <w:rPr>
          <w:rFonts w:hint="eastAsia"/>
          <w:b/>
          <w:bCs/>
        </w:rPr>
        <w:t>折损成本</w:t>
      </w:r>
      <w:r>
        <w:rPr>
          <w:rFonts w:hint="eastAsia"/>
        </w:rPr>
        <w:t>：引入电池寿命折损成本后，经济性评估更全面、更贴近实际</w:t>
      </w:r>
    </w:p>
    <w:p w14:paraId="2403B7BA">
      <w:pPr>
        <w:pStyle w:val="28"/>
        <w:numPr>
          <w:ilvl w:val="0"/>
          <w:numId w:val="5"/>
        </w:numPr>
      </w:pPr>
      <w:r>
        <w:rPr>
          <w:rFonts w:hint="eastAsia"/>
          <w:b/>
          <w:bCs/>
        </w:rPr>
        <w:t>折损成本约0.156元/kWh</w:t>
      </w:r>
      <w:r>
        <w:rPr>
          <w:rFonts w:hint="eastAsia"/>
        </w:rPr>
        <w:t>，对充放电策略有显著约束作用</w:t>
      </w:r>
    </w:p>
    <w:bookmarkEnd w:id="30"/>
    <w:p w14:paraId="3DAC2F2A">
      <w:pPr>
        <w:pStyle w:val="5"/>
        <w:rPr>
          <w:color w:val="auto"/>
        </w:rPr>
      </w:pPr>
      <w:bookmarkStart w:id="31" w:name="展望"/>
      <w:r>
        <w:rPr>
          <w:rFonts w:hint="eastAsia"/>
          <w:color w:val="auto"/>
        </w:rPr>
        <w:t>展望</w:t>
      </w:r>
    </w:p>
    <w:p w14:paraId="119A3ADF">
      <w:pPr>
        <w:pStyle w:val="28"/>
        <w:numPr>
          <w:ilvl w:val="0"/>
          <w:numId w:val="1"/>
        </w:numPr>
      </w:pPr>
      <w:r>
        <w:rPr>
          <w:rFonts w:hint="eastAsia"/>
        </w:rPr>
        <w:t>未来可引入更精细的EV出行随机模型（如泊松分布）</w:t>
      </w:r>
    </w:p>
    <w:p w14:paraId="64D143F8">
      <w:pPr>
        <w:pStyle w:val="28"/>
        <w:numPr>
          <w:ilvl w:val="0"/>
          <w:numId w:val="1"/>
        </w:numPr>
      </w:pPr>
      <w:r>
        <w:rPr>
          <w:rFonts w:hint="eastAsia"/>
        </w:rPr>
        <w:t>考虑电池容量衰减对长期收益的影响</w:t>
      </w:r>
    </w:p>
    <w:p w14:paraId="4B295B75">
      <w:pPr>
        <w:pStyle w:val="28"/>
        <w:numPr>
          <w:ilvl w:val="0"/>
          <w:numId w:val="1"/>
        </w:numPr>
      </w:pPr>
      <w:r>
        <w:rPr>
          <w:rFonts w:hint="eastAsia"/>
        </w:rPr>
        <w:t>引入灵敏度分析，研究电价变化对策略鲁棒性的影响</w:t>
      </w:r>
    </w:p>
    <w:p w14:paraId="0CA67398">
      <w:pPr>
        <w:pStyle w:val="28"/>
        <w:numPr>
          <w:ilvl w:val="0"/>
          <w:numId w:val="1"/>
        </w:numPr>
      </w:pPr>
      <w:r>
        <w:rPr>
          <w:rFonts w:hint="eastAsia"/>
        </w:rPr>
        <w:t>探索多目标优化（经济性+自给率+电网友好性）</w:t>
      </w:r>
    </w:p>
    <w:p w14:paraId="68AD4AC2">
      <w:pPr>
        <w:pStyle w:val="28"/>
        <w:numPr>
          <w:ilvl w:val="0"/>
          <w:numId w:val="1"/>
        </w:numPr>
      </w:pPr>
      <w:r>
        <w:rPr>
          <w:rFonts w:hint="eastAsia"/>
        </w:rPr>
        <w:t>考虑储能设备投资回收期分析</w:t>
      </w:r>
    </w:p>
    <w:p w14:paraId="5B19EBB0"/>
    <w:bookmarkEnd w:id="0"/>
    <w:bookmarkEnd w:id="29"/>
    <w:bookmarkEnd w:id="31"/>
    <w:p w14:paraId="0C739868">
      <w:pPr>
        <w:pStyle w:val="27"/>
      </w:pP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2476E3"/>
    <w:rsid w:val="002476E3"/>
    <w:rsid w:val="003C07C7"/>
    <w:rsid w:val="00460148"/>
    <w:rsid w:val="0055651C"/>
    <w:rsid w:val="005723A2"/>
    <w:rsid w:val="00853799"/>
    <w:rsid w:val="00A568BE"/>
    <w:rsid w:val="00AE1136"/>
    <w:rsid w:val="00CC0E35"/>
    <w:rsid w:val="00E16222"/>
    <w:rsid w:val="00FE0B23"/>
    <w:rsid w:val="3E0E070F"/>
    <w:rsid w:val="6FD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qFormat="1" w:unhideWhenUsed="0" w:uiPriority="22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5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8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8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0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5"/>
    <w:uiPriority w:val="0"/>
    <w:rPr>
      <w:color w:val="156082" w:themeColor="accent1"/>
    </w:rPr>
  </w:style>
  <w:style w:type="character" w:customStyle="1" w:styleId="25">
    <w:name w:val="题注 字符"/>
    <w:basedOn w:val="22"/>
    <w:link w:val="12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字符"/>
    <w:basedOn w:val="22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1 字符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标题 2 字符"/>
    <w:basedOn w:val="22"/>
    <w:link w:val="4"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标题 3 字符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标题 4 字符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标题 5 字符"/>
    <w:basedOn w:val="2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标题 6 字符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标题 7 字符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标题 8 字符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标题 9 字符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25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uiPriority w:val="0"/>
    <w:pPr>
      <w:wordWrap w:val="0"/>
    </w:pPr>
  </w:style>
  <w:style w:type="character" w:customStyle="1" w:styleId="54">
    <w:name w:val="Section Number"/>
    <w:basedOn w:val="25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6">
    <w:name w:val="KeywordTok"/>
    <w:basedOn w:val="52"/>
    <w:uiPriority w:val="0"/>
    <w:rPr>
      <w:rFonts w:ascii="Consolas" w:hAnsi="Consolas"/>
      <w:b/>
      <w:color w:val="007020"/>
      <w:sz w:val="22"/>
    </w:rPr>
  </w:style>
  <w:style w:type="character" w:customStyle="1" w:styleId="57">
    <w:name w:val="DataTypeTok"/>
    <w:basedOn w:val="52"/>
    <w:uiPriority w:val="0"/>
    <w:rPr>
      <w:rFonts w:ascii="Consolas" w:hAnsi="Consolas"/>
      <w:color w:val="902000"/>
      <w:sz w:val="22"/>
    </w:rPr>
  </w:style>
  <w:style w:type="character" w:customStyle="1" w:styleId="58">
    <w:name w:val="DecValTok"/>
    <w:basedOn w:val="52"/>
    <w:uiPriority w:val="0"/>
    <w:rPr>
      <w:rFonts w:ascii="Consolas" w:hAnsi="Consolas"/>
      <w:color w:val="40A070"/>
      <w:sz w:val="22"/>
    </w:rPr>
  </w:style>
  <w:style w:type="character" w:customStyle="1" w:styleId="59">
    <w:name w:val="BaseNTok"/>
    <w:basedOn w:val="52"/>
    <w:uiPriority w:val="0"/>
    <w:rPr>
      <w:rFonts w:ascii="Consolas" w:hAnsi="Consolas"/>
      <w:color w:val="40A070"/>
      <w:sz w:val="22"/>
    </w:rPr>
  </w:style>
  <w:style w:type="character" w:customStyle="1" w:styleId="60">
    <w:name w:val="FloatTok"/>
    <w:basedOn w:val="52"/>
    <w:uiPriority w:val="0"/>
    <w:rPr>
      <w:rFonts w:ascii="Consolas" w:hAnsi="Consolas"/>
      <w:color w:val="40A070"/>
      <w:sz w:val="22"/>
    </w:rPr>
  </w:style>
  <w:style w:type="character" w:customStyle="1" w:styleId="61">
    <w:name w:val="ConstantTok"/>
    <w:basedOn w:val="52"/>
    <w:uiPriority w:val="0"/>
    <w:rPr>
      <w:rFonts w:ascii="Consolas" w:hAnsi="Consolas"/>
      <w:color w:val="880000"/>
      <w:sz w:val="22"/>
    </w:rPr>
  </w:style>
  <w:style w:type="character" w:customStyle="1" w:styleId="62">
    <w:name w:val="CharTok"/>
    <w:basedOn w:val="52"/>
    <w:uiPriority w:val="0"/>
    <w:rPr>
      <w:rFonts w:ascii="Consolas" w:hAnsi="Consolas"/>
      <w:color w:val="4070A0"/>
      <w:sz w:val="22"/>
    </w:rPr>
  </w:style>
  <w:style w:type="character" w:customStyle="1" w:styleId="63">
    <w:name w:val="SpecialCharTok"/>
    <w:basedOn w:val="52"/>
    <w:uiPriority w:val="0"/>
    <w:rPr>
      <w:rFonts w:ascii="Consolas" w:hAnsi="Consolas"/>
      <w:color w:val="4070A0"/>
      <w:sz w:val="22"/>
    </w:rPr>
  </w:style>
  <w:style w:type="character" w:customStyle="1" w:styleId="64">
    <w:name w:val="StringTok"/>
    <w:basedOn w:val="52"/>
    <w:uiPriority w:val="0"/>
    <w:rPr>
      <w:rFonts w:ascii="Consolas" w:hAnsi="Consolas"/>
      <w:color w:val="4070A0"/>
      <w:sz w:val="22"/>
    </w:rPr>
  </w:style>
  <w:style w:type="character" w:customStyle="1" w:styleId="65">
    <w:name w:val="VerbatimStringTok"/>
    <w:basedOn w:val="52"/>
    <w:uiPriority w:val="0"/>
    <w:rPr>
      <w:rFonts w:ascii="Consolas" w:hAnsi="Consolas"/>
      <w:color w:val="4070A0"/>
      <w:sz w:val="22"/>
    </w:rPr>
  </w:style>
  <w:style w:type="character" w:customStyle="1" w:styleId="66">
    <w:name w:val="SpecialStringTok"/>
    <w:basedOn w:val="52"/>
    <w:uiPriority w:val="0"/>
    <w:rPr>
      <w:rFonts w:ascii="Consolas" w:hAnsi="Consolas"/>
      <w:color w:val="BB6688"/>
      <w:sz w:val="22"/>
    </w:rPr>
  </w:style>
  <w:style w:type="character" w:customStyle="1" w:styleId="67">
    <w:name w:val="ImportTok"/>
    <w:basedOn w:val="52"/>
    <w:uiPriority w:val="0"/>
    <w:rPr>
      <w:rFonts w:ascii="Consolas" w:hAnsi="Consolas"/>
      <w:b/>
      <w:color w:val="008000"/>
      <w:sz w:val="22"/>
    </w:rPr>
  </w:style>
  <w:style w:type="character" w:customStyle="1" w:styleId="68">
    <w:name w:val="CommentTok"/>
    <w:basedOn w:val="52"/>
    <w:uiPriority w:val="0"/>
    <w:rPr>
      <w:rFonts w:ascii="Consolas" w:hAnsi="Consolas"/>
      <w:i/>
      <w:color w:val="60A0B0"/>
      <w:sz w:val="22"/>
    </w:rPr>
  </w:style>
  <w:style w:type="character" w:customStyle="1" w:styleId="69">
    <w:name w:val="DocumentationTok"/>
    <w:basedOn w:val="52"/>
    <w:uiPriority w:val="0"/>
    <w:rPr>
      <w:rFonts w:ascii="Consolas" w:hAnsi="Consolas"/>
      <w:i/>
      <w:color w:val="BA2121"/>
      <w:sz w:val="22"/>
    </w:rPr>
  </w:style>
  <w:style w:type="character" w:customStyle="1" w:styleId="70">
    <w:name w:val="Annotation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CommentVar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OtherTok"/>
    <w:basedOn w:val="52"/>
    <w:uiPriority w:val="0"/>
    <w:rPr>
      <w:rFonts w:ascii="Consolas" w:hAnsi="Consolas"/>
      <w:color w:val="007020"/>
      <w:sz w:val="22"/>
    </w:rPr>
  </w:style>
  <w:style w:type="character" w:customStyle="1" w:styleId="73">
    <w:name w:val="FunctionTok"/>
    <w:basedOn w:val="52"/>
    <w:uiPriority w:val="0"/>
    <w:rPr>
      <w:rFonts w:ascii="Consolas" w:hAnsi="Consolas"/>
      <w:color w:val="06287E"/>
      <w:sz w:val="22"/>
    </w:rPr>
  </w:style>
  <w:style w:type="character" w:customStyle="1" w:styleId="74">
    <w:name w:val="VariableTok"/>
    <w:basedOn w:val="52"/>
    <w:uiPriority w:val="0"/>
    <w:rPr>
      <w:rFonts w:ascii="Consolas" w:hAnsi="Consolas"/>
      <w:color w:val="19177C"/>
      <w:sz w:val="22"/>
    </w:rPr>
  </w:style>
  <w:style w:type="character" w:customStyle="1" w:styleId="75">
    <w:name w:val="ControlFlowTok"/>
    <w:basedOn w:val="52"/>
    <w:uiPriority w:val="0"/>
    <w:rPr>
      <w:rFonts w:ascii="Consolas" w:hAnsi="Consolas"/>
      <w:b/>
      <w:color w:val="007020"/>
      <w:sz w:val="22"/>
    </w:rPr>
  </w:style>
  <w:style w:type="character" w:customStyle="1" w:styleId="76">
    <w:name w:val="OperatorTok"/>
    <w:basedOn w:val="52"/>
    <w:uiPriority w:val="0"/>
    <w:rPr>
      <w:rFonts w:ascii="Consolas" w:hAnsi="Consolas"/>
      <w:color w:val="666666"/>
      <w:sz w:val="22"/>
    </w:rPr>
  </w:style>
  <w:style w:type="character" w:customStyle="1" w:styleId="77">
    <w:name w:val="BuiltInTok"/>
    <w:basedOn w:val="52"/>
    <w:uiPriority w:val="0"/>
    <w:rPr>
      <w:rFonts w:ascii="Consolas" w:hAnsi="Consolas"/>
      <w:color w:val="008000"/>
      <w:sz w:val="22"/>
    </w:rPr>
  </w:style>
  <w:style w:type="character" w:customStyle="1" w:styleId="78">
    <w:name w:val="ExtensionTok"/>
    <w:basedOn w:val="52"/>
    <w:uiPriority w:val="0"/>
    <w:rPr>
      <w:rFonts w:ascii="Consolas" w:hAnsi="Consolas"/>
      <w:sz w:val="22"/>
    </w:rPr>
  </w:style>
  <w:style w:type="character" w:customStyle="1" w:styleId="79">
    <w:name w:val="PreprocessorTok"/>
    <w:basedOn w:val="52"/>
    <w:uiPriority w:val="0"/>
    <w:rPr>
      <w:rFonts w:ascii="Consolas" w:hAnsi="Consolas"/>
      <w:color w:val="BC7A00"/>
      <w:sz w:val="22"/>
    </w:rPr>
  </w:style>
  <w:style w:type="character" w:customStyle="1" w:styleId="80">
    <w:name w:val="AttributeTok"/>
    <w:basedOn w:val="52"/>
    <w:uiPriority w:val="0"/>
    <w:rPr>
      <w:rFonts w:ascii="Consolas" w:hAnsi="Consolas"/>
      <w:color w:val="7D9029"/>
      <w:sz w:val="22"/>
    </w:rPr>
  </w:style>
  <w:style w:type="character" w:customStyle="1" w:styleId="81">
    <w:name w:val="RegionMarkerTok"/>
    <w:basedOn w:val="52"/>
    <w:uiPriority w:val="0"/>
    <w:rPr>
      <w:rFonts w:ascii="Consolas" w:hAnsi="Consolas"/>
      <w:sz w:val="22"/>
    </w:rPr>
  </w:style>
  <w:style w:type="character" w:customStyle="1" w:styleId="82">
    <w:name w:val="Information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WarningTok"/>
    <w:basedOn w:val="52"/>
    <w:uiPriority w:val="0"/>
    <w:rPr>
      <w:rFonts w:ascii="Consolas" w:hAnsi="Consolas"/>
      <w:b/>
      <w:i/>
      <w:color w:val="60A0B0"/>
      <w:sz w:val="22"/>
    </w:rPr>
  </w:style>
  <w:style w:type="character" w:customStyle="1" w:styleId="84">
    <w:name w:val="AlertTok"/>
    <w:basedOn w:val="52"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ErrorTok"/>
    <w:basedOn w:val="52"/>
    <w:uiPriority w:val="0"/>
    <w:rPr>
      <w:rFonts w:ascii="Consolas" w:hAnsi="Consolas"/>
      <w:b/>
      <w:color w:val="FF0000"/>
      <w:sz w:val="22"/>
    </w:rPr>
  </w:style>
  <w:style w:type="character" w:customStyle="1" w:styleId="86">
    <w:name w:val="NormalTok"/>
    <w:basedOn w:val="52"/>
    <w:uiPriority w:val="0"/>
    <w:rPr>
      <w:rFonts w:ascii="Consolas" w:hAnsi="Consolas"/>
      <w:sz w:val="22"/>
    </w:rPr>
  </w:style>
  <w:style w:type="character" w:customStyle="1" w:styleId="87">
    <w:name w:val="页眉 字符"/>
    <w:basedOn w:val="22"/>
    <w:link w:val="17"/>
    <w:uiPriority w:val="0"/>
    <w:rPr>
      <w:sz w:val="18"/>
      <w:szCs w:val="18"/>
    </w:rPr>
  </w:style>
  <w:style w:type="character" w:customStyle="1" w:styleId="88">
    <w:name w:val="页脚 字符"/>
    <w:basedOn w:val="22"/>
    <w:link w:val="16"/>
    <w:uiPriority w:val="0"/>
    <w:rPr>
      <w:sz w:val="18"/>
      <w:szCs w:val="18"/>
    </w:rPr>
  </w:style>
  <w:style w:type="paragraph" w:styleId="89">
    <w:name w:val="List Paragraph"/>
    <w:basedOn w:val="1"/>
    <w:qFormat/>
    <w:uiPriority w:val="34"/>
    <w:pPr>
      <w:widowControl w:val="0"/>
      <w:spacing w:after="160" w:line="278" w:lineRule="auto"/>
      <w:ind w:firstLine="420" w:firstLineChars="200"/>
    </w:pPr>
    <w:rPr>
      <w:kern w:val="2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1946</Words>
  <Characters>2350</Characters>
  <Lines>315</Lines>
  <Paragraphs>402</Paragraphs>
  <TotalTime>42</TotalTime>
  <ScaleCrop>false</ScaleCrop>
  <LinksUpToDate>false</LinksUpToDate>
  <CharactersWithSpaces>2381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2026-06-04T04:08:00Z</dcterms:created>
  <dc:creator>姜圣基</dc:creator>
  <cp:lastModifiedBy>姜圣基</cp:lastModifiedBy>
  <dcterms:modified xsi:type="dcterms:W3CDTF">2026-06-21T05:31:59Z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eyJoZGlkIjoiNjczY2ZjY2M1ZDg5NTAwMWRkYmMxOGNmYjdkODM4YmUiLCJ1c2VySWQiOiIxNTU1Mzg0MjM5In0=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8AD5F362EDBD4F8F9171A2BFCEC7599B_12</vt:lpwstr>
  </property>
</Properties>
</file>