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4"/>
          <w:szCs w:val="24"/>
        </w:rPr>
      </w:pPr>
      <w:r w:rsidDel="00000000" w:rsidR="00000000" w:rsidRPr="00000000">
        <w:rPr>
          <w:sz w:val="24"/>
          <w:szCs w:val="24"/>
          <w:rtl w:val="0"/>
        </w:rPr>
        <w:t xml:space="preserve">Working architecture standards are essential for ensuring consistency and quality across projects.</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Azure currently is being used in 8 regions and looking to expand to 20 regions in the future. Data sovereignty is important to consider when expanding to new regions in order to comply with local regulations and protect user data.</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BY uses Databricks and MongoDB but is a big user of Snowflake for data warehousing and AI. Evaluating replication products.</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Agentic AI is a theme that they have interest in.</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Ask what workstreams are currently being prioritized. For legacy=heritage to the cognitive platform=SAAS offering, which is a comprehensive combined solution of all legacy products.</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Corey Nordstorm mentioned Gregg O'Connor, product leader in operations, to connect with at Blue Yonder. greg.oconnor@blueyonder.com</w:t>
      </w:r>
    </w:p>
    <w:p w:rsidR="00000000" w:rsidDel="00000000" w:rsidP="00000000" w:rsidRDefault="00000000" w:rsidRPr="00000000" w14:paraId="00000007">
      <w:pPr>
        <w:spacing w:after="240" w:before="240" w:lineRule="auto"/>
        <w:rPr>
          <w:color w:val="1155cc"/>
          <w:sz w:val="24"/>
          <w:szCs w:val="24"/>
          <w:u w:val="single"/>
        </w:rPr>
      </w:pPr>
      <w:hyperlink r:id="rId6">
        <w:r w:rsidDel="00000000" w:rsidR="00000000" w:rsidRPr="00000000">
          <w:rPr>
            <w:color w:val="1155cc"/>
            <w:sz w:val="24"/>
            <w:szCs w:val="24"/>
            <w:u w:val="single"/>
            <w:rtl w:val="0"/>
          </w:rPr>
          <w:t xml:space="preserve">LinkedIn:</w:t>
        </w:r>
      </w:hyperlink>
      <w:r w:rsidDel="00000000" w:rsidR="00000000" w:rsidRPr="00000000">
        <w:rPr>
          <w:rtl w:val="0"/>
        </w:rPr>
      </w:r>
    </w:p>
    <w:p w:rsidR="00000000" w:rsidDel="00000000" w:rsidP="00000000" w:rsidRDefault="00000000" w:rsidRPr="00000000" w14:paraId="00000008">
      <w:pPr>
        <w:spacing w:after="240" w:before="24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Senior Vice President of Cloud Engineering and Operations at Blue Yonder Ne</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sales/lead/ACwAAAAx0PgBD1tnpkAMoZWcI1XRLWI0EhCqWQw,NAME_SEARCH,0NH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