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Based on their market strategy and technology investments, Blue Yonder undoubtedly rates as a </w:t>
      </w:r>
      <w:r w:rsidDel="00000000" w:rsidR="00000000" w:rsidRPr="00000000">
        <w:rPr>
          <w:b w:val="1"/>
          <w:bCs w:val="1"/>
          <w:rtl w:val="0"/>
        </w:rPr>
        <w:t xml:space="preserve">5. Innovator</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Backed by a $1 billion annual R&amp;D commitment from Panasonic, they are pioneering the industry's shift toward autonomous supply chains by actively developing and deploying cutting-edge "Agentic AI" and generative AI solutions well ahead of the broader market 1, 2. Instead of waiting for proven trends, they are aggressively defining the future by acquiring companies like One Network to build a real-time, multi-enterprise digital ecosystem and migrating their legacy systems to the cloud-native Luminate Cognitive Platform 3-6. Furthermore, their internal IT teams reflect this innovator mindset by rapidly exploring advanced automation, CI/CD pipelines, and next-generation infrastructure management tools to support their massive technological transformation 7, 8.</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