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1FA7" w14:textId="77777777" w:rsidR="000E5665" w:rsidRDefault="00E870BC">
      <w:pPr>
        <w:spacing w:after="80"/>
        <w:jc w:val="center"/>
      </w:pPr>
      <w:r>
        <w:rPr>
          <w:b/>
          <w:bCs/>
          <w:color w:val="1F3A5F"/>
          <w:sz w:val="40"/>
          <w:szCs w:val="40"/>
        </w:rPr>
        <w:t>Blue Yonder VMware Environment Summary</w:t>
      </w:r>
    </w:p>
    <w:p w14:paraId="789AF26D" w14:textId="77777777" w:rsidR="000E5665" w:rsidRDefault="00E870BC">
      <w:pPr>
        <w:spacing w:after="320"/>
        <w:jc w:val="center"/>
      </w:pPr>
      <w:r>
        <w:rPr>
          <w:i/>
          <w:iCs/>
          <w:color w:val="555555"/>
        </w:rPr>
        <w:t>Extracted from Intro Call with Red Hat — April 14, 2026</w:t>
      </w:r>
    </w:p>
    <w:p w14:paraId="6B53389B" w14:textId="77777777" w:rsidR="000E5665" w:rsidRDefault="00E870BC">
      <w:pPr>
        <w:pStyle w:val="Heading1"/>
      </w:pPr>
      <w:r>
        <w:t>Scale &amp; Geography</w:t>
      </w:r>
    </w:p>
    <w:p w14:paraId="72AF79A2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Roughly 10,000 on-prem VMs today (number is shrinking as workloads migrate to Azure)</w:t>
      </w:r>
    </w:p>
    <w:p w14:paraId="50DA2846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Long-term projection: ~2,500 VMs across 25–30 hosts after Azure migrations</w:t>
      </w:r>
    </w:p>
    <w:p w14:paraId="5C47D8F9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4 data centers globally: 2 US-based (Kansas City and Dallas) and 2 EMEA-based</w:t>
      </w:r>
    </w:p>
    <w:p w14:paraId="4B5BB69A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 xml:space="preserve">99.999% virtualized — exclusively </w:t>
      </w:r>
      <w:proofErr w:type="spellStart"/>
      <w:r>
        <w:t>ESXi</w:t>
      </w:r>
      <w:proofErr w:type="spellEnd"/>
    </w:p>
    <w:p w14:paraId="18790C3D" w14:textId="77777777" w:rsidR="000E5665" w:rsidRDefault="00E870BC">
      <w:pPr>
        <w:pStyle w:val="Heading1"/>
      </w:pPr>
      <w:r>
        <w:t>Operating System Mix</w:t>
      </w:r>
    </w:p>
    <w:p w14:paraId="76D72EEA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60–65% Windows, remainder Linux</w:t>
      </w:r>
    </w:p>
    <w:p w14:paraId="382FAE09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Windows: mostly Server 2012, 2016, 2019; some legacy 2008 and possibly 2003 still in environment</w:t>
      </w:r>
    </w:p>
    <w:p w14:paraId="18345FD2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Linux: RHEL 6 through 8, plus some Oracle Enterprise Linux 6 and 7</w:t>
      </w:r>
    </w:p>
    <w:p w14:paraId="2C4CB8E2" w14:textId="77777777" w:rsidR="000E5665" w:rsidRDefault="00E870BC">
      <w:pPr>
        <w:pStyle w:val="Heading1"/>
      </w:pPr>
      <w:r>
        <w:t>Hardware</w:t>
      </w:r>
    </w:p>
    <w:p w14:paraId="165D756B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Dell pizza-box servers, primarily 2-socket</w:t>
      </w:r>
    </w:p>
    <w:p w14:paraId="1A6E5002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A few blade servers remaining (being phased out)</w:t>
      </w:r>
    </w:p>
    <w:p w14:paraId="150010CE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Multiple processor generations across hosts (4–5 generations spanning some clusters), which is why EVC mode is enabled</w:t>
      </w:r>
    </w:p>
    <w:p w14:paraId="3E916B87" w14:textId="77777777" w:rsidR="000E5665" w:rsidRDefault="00E870BC">
      <w:pPr>
        <w:pStyle w:val="Heading1"/>
      </w:pPr>
      <w:r>
        <w:t>Storage</w:t>
      </w:r>
    </w:p>
    <w:p w14:paraId="6BD6F8D3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Pure Storage flash arrays as primary backend</w:t>
      </w:r>
    </w:p>
    <w:p w14:paraId="3114AE3D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Fiber channel connectivity</w:t>
      </w:r>
    </w:p>
    <w:p w14:paraId="016D301B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Some NFS shares used for non-production purposes (templates, DR copies)</w:t>
      </w:r>
    </w:p>
    <w:p w14:paraId="54DB3C65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A handful of RDMs (fewer than 6) for dedicated cluster servers</w:t>
      </w:r>
    </w:p>
    <w:p w14:paraId="79A8DE8F" w14:textId="77777777" w:rsidR="000E5665" w:rsidRDefault="00E870BC">
      <w:pPr>
        <w:pStyle w:val="Heading1"/>
      </w:pPr>
      <w:r>
        <w:t>Networking</w:t>
      </w:r>
    </w:p>
    <w:p w14:paraId="5E6F0085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Standard VLANs on Cisco and Arista</w:t>
      </w:r>
    </w:p>
    <w:p w14:paraId="6373CFCC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NSX was implemented at one point but scrapped — not currently in use</w:t>
      </w:r>
    </w:p>
    <w:p w14:paraId="6CF7AB02" w14:textId="77777777" w:rsidR="000E5665" w:rsidRDefault="00E870BC">
      <w:pPr>
        <w:pStyle w:val="Heading1"/>
      </w:pPr>
      <w:r>
        <w:t>VMware Features in Use</w:t>
      </w:r>
    </w:p>
    <w:p w14:paraId="74686D20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proofErr w:type="spellStart"/>
      <w:r>
        <w:t>ESXi</w:t>
      </w:r>
      <w:proofErr w:type="spellEnd"/>
      <w:r>
        <w:t xml:space="preserve"> (no Tanzu — firmly not interested)</w:t>
      </w:r>
    </w:p>
    <w:p w14:paraId="652F5923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DRS with standard workload-based migration (nothing aggressive)</w:t>
      </w:r>
    </w:p>
    <w:p w14:paraId="647B7EEF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DRS anti-affinity rules (e.g., separating active/passive Palo Alto firewall pairs)</w:t>
      </w:r>
    </w:p>
    <w:p w14:paraId="70C19440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EVC mode enabled across clusters (necessary due to mixed CPU generations)</w:t>
      </w:r>
    </w:p>
    <w:p w14:paraId="4D615E00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lastRenderedPageBreak/>
        <w:t>vSphere SRM and Zerto for DR between sites</w:t>
      </w:r>
    </w:p>
    <w:p w14:paraId="2B5FFE7E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No Aria; limited automation mostly via PowerShell scripting and some Control-M</w:t>
      </w:r>
    </w:p>
    <w:p w14:paraId="1CB2EF1C" w14:textId="77777777" w:rsidR="000E5665" w:rsidRDefault="00E870BC">
      <w:pPr>
        <w:pStyle w:val="Heading1"/>
      </w:pPr>
      <w:r>
        <w:t>Cluster Strategy</w:t>
      </w:r>
    </w:p>
    <w:p w14:paraId="178BB5A7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Cluster breakdown driven primarily by licensing (separate Linux, Windows, Oracle clusters)</w:t>
      </w:r>
    </w:p>
    <w:p w14:paraId="65C48F26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Some additional Windows cluster splits due to incompatible processor generations</w:t>
      </w:r>
    </w:p>
    <w:p w14:paraId="40B48995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VM provisioning via templates, clones, and PowerShell — no Aria</w:t>
      </w:r>
    </w:p>
    <w:p w14:paraId="690EFEBB" w14:textId="77777777" w:rsidR="000E5665" w:rsidRDefault="00E870BC">
      <w:pPr>
        <w:pStyle w:val="Heading1"/>
      </w:pPr>
      <w:r>
        <w:t>Multi-tenancy &amp; Customer Model</w:t>
      </w:r>
    </w:p>
    <w:p w14:paraId="7F4F3175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Blue Yonder runs a SaaS-style cloud business — customers access the application, not the VMs</w:t>
      </w:r>
    </w:p>
    <w:p w14:paraId="1C295A6E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No customer-level multi-tenancy at the infrastructure layer; Blue Yonder fully manages the back end</w:t>
      </w:r>
    </w:p>
    <w:p w14:paraId="797EEA46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Major customers include Starbucks, Albertsons, and Advance Auto</w:t>
      </w:r>
    </w:p>
    <w:p w14:paraId="14EE881A" w14:textId="77777777" w:rsidR="000E5665" w:rsidRDefault="00E870BC">
      <w:pPr>
        <w:pStyle w:val="Heading1"/>
      </w:pPr>
      <w:r>
        <w:t>Strategic Context</w:t>
      </w:r>
    </w:p>
    <w:p w14:paraId="1DE80CE9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VMware licensing agreement expires April 2028 — mandate to be off VMware before then</w:t>
      </w:r>
    </w:p>
    <w:p w14:paraId="6A441AB6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Long-term direction is to exit private data centers entirely for Azure, but a forklift migration isn't feasible</w:t>
      </w:r>
    </w:p>
    <w:p w14:paraId="51C1B0AD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Looking for an interim hypervisor; some workloads may stay on-prem long-term due to performance</w:t>
      </w:r>
    </w:p>
    <w:p w14:paraId="0EA3C0A8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Want flexibility to pivot to containers/Kubernetes in the future</w:t>
      </w:r>
    </w:p>
    <w:p w14:paraId="3B229E69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>Already evaluated 8–9 alternatives, including Spectro Cloud</w:t>
      </w:r>
    </w:p>
    <w:p w14:paraId="3A23F085" w14:textId="77777777" w:rsidR="000E5665" w:rsidRDefault="00E870BC">
      <w:pPr>
        <w:pStyle w:val="ListParagraph"/>
        <w:numPr>
          <w:ilvl w:val="0"/>
          <w:numId w:val="2"/>
        </w:numPr>
        <w:spacing w:after="80"/>
      </w:pPr>
      <w:r>
        <w:t xml:space="preserve">Currently doing a </w:t>
      </w:r>
      <w:proofErr w:type="spellStart"/>
      <w:r>
        <w:t>Portworx</w:t>
      </w:r>
      <w:proofErr w:type="spellEnd"/>
      <w:r>
        <w:t xml:space="preserve"> POC with another vendor</w:t>
      </w:r>
    </w:p>
    <w:sectPr w:rsidR="000E56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F13AF"/>
    <w:multiLevelType w:val="hybridMultilevel"/>
    <w:tmpl w:val="95241EFA"/>
    <w:lvl w:ilvl="0" w:tplc="DE449B32">
      <w:start w:val="1"/>
      <w:numFmt w:val="bullet"/>
      <w:lvlText w:val="•"/>
      <w:lvlJc w:val="left"/>
      <w:pPr>
        <w:ind w:left="720" w:hanging="360"/>
      </w:pPr>
    </w:lvl>
    <w:lvl w:ilvl="1" w:tplc="492453FC">
      <w:start w:val="1"/>
      <w:numFmt w:val="bullet"/>
      <w:lvlText w:val="◦"/>
      <w:lvlJc w:val="left"/>
      <w:pPr>
        <w:ind w:left="1440" w:hanging="360"/>
      </w:pPr>
    </w:lvl>
    <w:lvl w:ilvl="2" w:tplc="6554E68C">
      <w:numFmt w:val="decimal"/>
      <w:lvlText w:val=""/>
      <w:lvlJc w:val="left"/>
    </w:lvl>
    <w:lvl w:ilvl="3" w:tplc="3426DFBC">
      <w:numFmt w:val="decimal"/>
      <w:lvlText w:val=""/>
      <w:lvlJc w:val="left"/>
    </w:lvl>
    <w:lvl w:ilvl="4" w:tplc="D77E9078">
      <w:numFmt w:val="decimal"/>
      <w:lvlText w:val=""/>
      <w:lvlJc w:val="left"/>
    </w:lvl>
    <w:lvl w:ilvl="5" w:tplc="F0AED4CC">
      <w:numFmt w:val="decimal"/>
      <w:lvlText w:val=""/>
      <w:lvlJc w:val="left"/>
    </w:lvl>
    <w:lvl w:ilvl="6" w:tplc="1DF00290">
      <w:numFmt w:val="decimal"/>
      <w:lvlText w:val=""/>
      <w:lvlJc w:val="left"/>
    </w:lvl>
    <w:lvl w:ilvl="7" w:tplc="852EBE88">
      <w:numFmt w:val="decimal"/>
      <w:lvlText w:val=""/>
      <w:lvlJc w:val="left"/>
    </w:lvl>
    <w:lvl w:ilvl="8" w:tplc="F23C6D8C">
      <w:numFmt w:val="decimal"/>
      <w:lvlText w:val=""/>
      <w:lvlJc w:val="left"/>
    </w:lvl>
  </w:abstractNum>
  <w:abstractNum w:abstractNumId="1" w15:restartNumberingAfterBreak="0">
    <w:nsid w:val="5B656A02"/>
    <w:multiLevelType w:val="hybridMultilevel"/>
    <w:tmpl w:val="311C6F32"/>
    <w:lvl w:ilvl="0" w:tplc="3F5AC1AA">
      <w:start w:val="1"/>
      <w:numFmt w:val="bullet"/>
      <w:lvlText w:val="●"/>
      <w:lvlJc w:val="left"/>
      <w:pPr>
        <w:ind w:left="720" w:hanging="360"/>
      </w:pPr>
    </w:lvl>
    <w:lvl w:ilvl="1" w:tplc="1FC2C7BE">
      <w:start w:val="1"/>
      <w:numFmt w:val="bullet"/>
      <w:lvlText w:val="○"/>
      <w:lvlJc w:val="left"/>
      <w:pPr>
        <w:ind w:left="1440" w:hanging="360"/>
      </w:pPr>
    </w:lvl>
    <w:lvl w:ilvl="2" w:tplc="3B30FD9A">
      <w:start w:val="1"/>
      <w:numFmt w:val="bullet"/>
      <w:lvlText w:val="■"/>
      <w:lvlJc w:val="left"/>
      <w:pPr>
        <w:ind w:left="2160" w:hanging="360"/>
      </w:pPr>
    </w:lvl>
    <w:lvl w:ilvl="3" w:tplc="A7A85BD8">
      <w:start w:val="1"/>
      <w:numFmt w:val="bullet"/>
      <w:lvlText w:val="●"/>
      <w:lvlJc w:val="left"/>
      <w:pPr>
        <w:ind w:left="2880" w:hanging="360"/>
      </w:pPr>
    </w:lvl>
    <w:lvl w:ilvl="4" w:tplc="060A1750">
      <w:start w:val="1"/>
      <w:numFmt w:val="bullet"/>
      <w:lvlText w:val="○"/>
      <w:lvlJc w:val="left"/>
      <w:pPr>
        <w:ind w:left="3600" w:hanging="360"/>
      </w:pPr>
    </w:lvl>
    <w:lvl w:ilvl="5" w:tplc="AB823E28">
      <w:start w:val="1"/>
      <w:numFmt w:val="bullet"/>
      <w:lvlText w:val="■"/>
      <w:lvlJc w:val="left"/>
      <w:pPr>
        <w:ind w:left="4320" w:hanging="360"/>
      </w:pPr>
    </w:lvl>
    <w:lvl w:ilvl="6" w:tplc="E26A8DFE">
      <w:start w:val="1"/>
      <w:numFmt w:val="bullet"/>
      <w:lvlText w:val="●"/>
      <w:lvlJc w:val="left"/>
      <w:pPr>
        <w:ind w:left="5040" w:hanging="360"/>
      </w:pPr>
    </w:lvl>
    <w:lvl w:ilvl="7" w:tplc="E2405DFA">
      <w:start w:val="1"/>
      <w:numFmt w:val="bullet"/>
      <w:lvlText w:val="●"/>
      <w:lvlJc w:val="left"/>
      <w:pPr>
        <w:ind w:left="5760" w:hanging="360"/>
      </w:pPr>
    </w:lvl>
    <w:lvl w:ilvl="8" w:tplc="C27225AE">
      <w:start w:val="1"/>
      <w:numFmt w:val="bullet"/>
      <w:lvlText w:val="●"/>
      <w:lvlJc w:val="left"/>
      <w:pPr>
        <w:ind w:left="6480" w:hanging="360"/>
      </w:pPr>
    </w:lvl>
  </w:abstractNum>
  <w:num w:numId="1" w16cid:durableId="1426724199">
    <w:abstractNumId w:val="1"/>
    <w:lvlOverride w:ilvl="0">
      <w:startOverride w:val="1"/>
    </w:lvlOverride>
  </w:num>
  <w:num w:numId="2" w16cid:durableId="2033651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65"/>
    <w:rsid w:val="000E5665"/>
    <w:rsid w:val="003C26C2"/>
    <w:rsid w:val="00C53A16"/>
    <w:rsid w:val="00E8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6B3FA"/>
  <w15:docId w15:val="{E3597746-91FA-3642-9287-3E353F29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98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2244</Characters>
  <Application>Microsoft Office Word</Application>
  <DocSecurity>0</DocSecurity>
  <Lines>54</Lines>
  <Paragraphs>45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Wilson</cp:lastModifiedBy>
  <cp:revision>2</cp:revision>
  <dcterms:created xsi:type="dcterms:W3CDTF">2026-04-30T15:01:00Z</dcterms:created>
  <dcterms:modified xsi:type="dcterms:W3CDTF">2026-04-30T15:01:00Z</dcterms:modified>
</cp:coreProperties>
</file>