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1: Immutable Edge Appliances for the "Connected Worker" Program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Supports Hershey's "Digital Lean" and "Connected Worker" initiatives to digitize factory floors and empower frontline workers with mobile tools and real-time guidance 1-3.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Drives Hershey toward its goal of zero loss and 100% employee ownership by reducing system downtime, ensuring consistent training delivery, and increasing overall plant productivity 4-6.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Enterprise Linux (RHEL) using "Image Mode" (Bootc) and Red Hat Device Edge to deploy immutable, containerized OS images directly to resource-constrained factory edge environments 7-9.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Accenture (as their current MSP) or Critical Manufacturing (a Red Hat partner specializing in MES and edge solutions for the shop floor) 10, 11.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2: Automated IT Remediation for the AAA Initiative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Directly aligns with the Advancing Agility &amp; Automation (AAA) Initiative, which seeks to simplify IT processes, optimize general expenses, and drive long-term efficiency 12, 13.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Contributes to the target of $300 million in ongoing annual savings by 2026 by drastically reducing manual IT overhead, cutting mean-time-to-resolution (MTTR), and eliminating wait times for custom backend development 7, 13.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Ansible Automation Platform (AAP) featuring Event-Driven Ansible (EDA) 7, 14.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ServiceNow and Dynatrace (leveraging Hershey's existing observability and ticketing platforms to trigger automated remediation playbooks) 7, 14.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3: Multi-Cloud AI Model Orchestration for Marketing and "Agnes"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Supports Hershey's goal of expanding competitive advantage through differentiated digital capabilities, specifically its real-time AI marketing mix model and the "Agnes" autonomous IVR system 15-17.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Accelerates time-to-market for new AI agents, improves marketing ROI by allowing dynamic advertising spend adjustments, and scales Agnes's ability to automate over 50% of routine password resets 18-20.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OpenShift AI and OpenShift Container Platform to provide a unified, "build once, deploy anywhere" foundation for deploying models across AWS, Azure, and GCP 20.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Google Cloud (which currently powers the Agnes IVR via its Customer Engagement Suite) 15.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4: Mission-Critical Stability for the SAP S/4HANA "Clean Core"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Sustains the "ONE Hershey" commercial model by ensuring the unified SAP S/4HANA digital backbone—managing 95% of their global business—remains resilient and highly available 21, 22.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Prevents costly supply chain disruptions, ensures zero-downtime for global finance and order fulfillment, and maximizes the return on their multi-year ERP migration investment 21, 23.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RHEL for SAP Solutions combined with Red Hat Insights for proactive misconfiguration remediation 23, 24.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SAP (leveraging the deep engineering alliance between Red Hat and SAP for optimized HANA performance) 24.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5: Database Consolidation to Eradicate Technical Debt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Addresses the need to modernize 176 disparate applications and shed technical debt lingering from legacy infrastructure 25, 26.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Dramatically lowers Total Cost of Ownership (TCO) by bypassing exorbitant full-cluster virtualization licensing costs (particularly for their 4,000 Microsoft SQL Server databases and legacy Oracle environments on SPARC) 7.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OpenShift using a modern Database-as-a-Service (DBaaS) architecture with fenced compute resources 7, 27.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Transitional Data Services (TDS), whose TransitionManager software is already helping Hershey migrate legacy servers and reduce technical debt 25.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6: Supply Chain Decision Intelligence Integration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Strengthens supply chain resilience to combat extreme commodity price volatility (such as the 70%+ surge in cocoa prices) 28, 29.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Supports Hershey's goal of a $100 million inventory reduction and a $50 million productivity increase over two years by rapidly evaluating complex production networks 30, 31.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OpenShift to host and seamlessly scale the mathematical optimization frameworks and machine learning algorithms utilized in their demand planning 20, 31.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Kinaxis (Hershey's current decision-intelligence software provider) or SAP (leveraging SAP BTP) 20, 32.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7: EUDR Compliance and Traceability Data Automation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Addresses the critical regulatory challenge of the EU Deforestation Regulation (EUDR) requiring GPS polygon mapping for cocoa sourcing by the end of 2026 33, 34.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Protects international revenue by ensuring 100% compliance with EU market access rules, reduces audit preparation time, and scales tracking for sustainable sourcing 34, 35.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Ansible Automation Platform to automate the configuration, data extraction, and monitoring of compliance-related data streams for Digital Product Passports 36.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IBM (utilizing their expertise in supply chain traceability and compliance consulting) 36, 37.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8: Kubernetes Fleet Consolidation via Advanced Cluster Management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Simplifies IT operations and reduces infrastructure bloat, directly supporting the cost-cutting goals of the AAA Initiative 7, 13.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Reduces the hardware overhead required for Kubernetes control planes, allowing Hershey to consolidate from 12 resource-heavy clusters down to a lean footprint of roughly 4 clusters 7, 8.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Advanced Cluster Management (ACM) for Kubernetes and Hosted Control Planes 7, 8.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Accenture (managing the day-to-day IT infrastructure and driving the cluster consolidation effort) 11.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9: AI Telemetry and Observability for the "ONE Hershey" Ecosystem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Enhances Hershey's ability to maintain real-time visibility across sweet, salty, and protein manufacturing and IT platforms under the ONE Hershey model 38.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Boosts operational efficiency by pinpointing system latency, tracking AI/GPU utilization for new marketing models, and providing granular access control for different divisions 39-41.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Red Hat OpenShift Observability (Prometheus/Grafana) paired with a framework similar to SPINE programming for generating real-time, data-driven internal dashboards 39, 41, 42.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Dynatrace (integrating their existing observability data into a unified, AI-monitored dashboard) 7.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10: Scalable Infrastructure-as-Code (IaC) for Hybrid Cloud Sprawl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Alignment:</w:t>
      </w:r>
      <w:r w:rsidDel="00000000" w:rsidR="00000000" w:rsidRPr="00000000">
        <w:rPr>
          <w:rtl w:val="0"/>
        </w:rPr>
        <w:t xml:space="preserve"> Unifies the management of Hershey's multi-cloud footprint (AWS, Azure, Google Cloud) so engineers can build and scale Next Generation Snacking platforms faster 43, 44.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Accelerates infrastructure provisioning times, standardizes security protocols across borders, and drives the $300 million productivity savings target by shifting to an automated platform-engineering model 13, 45, 46.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Technology:</w:t>
      </w:r>
      <w:r w:rsidDel="00000000" w:rsidR="00000000" w:rsidRPr="00000000">
        <w:rPr>
          <w:rtl w:val="0"/>
        </w:rPr>
        <w:t xml:space="preserve"> Ansible Automation Platform integrated with HashiCorp Terraform to bridge infrastructure provisioning and application configuration 45, 47.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IBM (leveraging their recent acquisition of HashiCorp to provide an end-to-end Terraform and Ansible synergy) 45, 47.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