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 would rate Hershey as a </w:t>
      </w:r>
      <w:r w:rsidDel="00000000" w:rsidR="00000000" w:rsidRPr="00000000">
        <w:rPr>
          <w:b w:val="1"/>
          <w:bCs w:val="1"/>
          <w:rtl w:val="0"/>
        </w:rPr>
        <w:t xml:space="preserve">4. Early Adopter</w:t>
      </w:r>
      <w:r w:rsidDel="00000000" w:rsidR="00000000" w:rsidRPr="00000000">
        <w:rPr>
          <w:rtl w:val="0"/>
        </w:rPr>
        <w:t xml:space="preserve"> when it comes to adopting digital, IT, and AI-supported innovation.</w:t>
      </w:r>
    </w:p>
    <w:p w:rsidR="00000000" w:rsidDel="00000000" w:rsidP="00000000" w:rsidRDefault="00000000" w:rsidRPr="00000000" w14:paraId="00000002">
      <w:pPr>
        <w:rPr/>
      </w:pPr>
      <w:r w:rsidDel="00000000" w:rsidR="00000000" w:rsidRPr="00000000">
        <w:rPr>
          <w:rtl w:val="0"/>
        </w:rPr>
        <w:t xml:space="preserve">After successfully modernizing their digital backbone through a unified SAP S/4HANA migration and a hybrid multi-cloud architecture, they have demonstrated a high comfort level with embracing complex technological change across their enterprise 1, 2. They are moving aggressively into advanced use cases, pioneering the deployment of "Agentic AI" (such as their autonomous "Agnes" system for HR and IT) and real-time AI-driven marketing models to proactively optimize their business 2-4. Furthermore, their "Digital Lean" and "Connected Worker" initiatives push digital workflows, IoT data, and generative AI directly to frontline factory workers, proving their willingness to reshape traditional manufacturing with cutting-edge technologies 5, 6.</w:t>
      </w:r>
    </w:p>
    <w:p w:rsidR="00000000" w:rsidDel="00000000" w:rsidP="00000000" w:rsidRDefault="00000000" w:rsidRPr="00000000" w14:paraId="0000000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