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Rating: 4. Early Adopter</w:t>
      </w:r>
    </w:p>
    <w:p w:rsidR="00000000" w:rsidDel="00000000" w:rsidP="00000000" w:rsidRDefault="00000000" w:rsidRPr="00000000" w14:paraId="00000002">
      <w:pPr>
        <w:rPr/>
      </w:pPr>
      <w:r w:rsidDel="00000000" w:rsidR="00000000" w:rsidRPr="00000000">
        <w:rPr>
          <w:rtl w:val="0"/>
        </w:rPr>
        <w:t xml:space="preserve">I would rate Panasonic Avionics as a </w:t>
      </w:r>
      <w:r w:rsidDel="00000000" w:rsidR="00000000" w:rsidRPr="00000000">
        <w:rPr>
          <w:b w:val="1"/>
          <w:bCs w:val="1"/>
          <w:rtl w:val="0"/>
        </w:rPr>
        <w:t xml:space="preserve">4. Early Adopter</w:t>
      </w:r>
      <w:r w:rsidDel="00000000" w:rsidR="00000000" w:rsidRPr="00000000">
        <w:rPr>
          <w:rtl w:val="0"/>
        </w:rPr>
        <w:t xml:space="preserve">, as they demonstrate a strong comfort with digital change by aggressively pivoting their business model from a traditional hardware OEM to a cloud-native, software-defined services provider 1. They are actively modernizing the in-flight experience and their own operations by integrating emerging technologies like Low Earth Orbit (LEO) satellite networks, AI-driven analytics via the "Panasonic Go" initiative, and containerized edge computing directly on aircraft 2-4. However, their executive leadership explicitly acknowledges their strategy of watching and learning from digital technologies first proven in other fast-moving sectors (such as retail and enterprise) to successfully navigate the aviation industry's notoriously strict regulatory landscape 5, 6. Furthermore, the organization is still actively working to overcome significant internal technical debt—such as legacy monolithic applications, manual IT polling, and outdated virtualization—which firmly positions their approach as eager early adoption rather than absolute, bleeding-edge innovation 7-9.</w:t>
      </w:r>
    </w:p>
    <w:p w:rsidR="00000000" w:rsidDel="00000000" w:rsidP="00000000" w:rsidRDefault="00000000" w:rsidRPr="00000000" w14:paraId="0000000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