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Justin,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wanted to follow up on a couple of topics based off our last conversation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When do you believe that PAC will be ready to try out the EDA workshop with Netbox?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 Are there any specific areas you would like to focus on for our next conversation? </w:t>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Does the week of June 15th work for an onsite visit?  We would like to learn more about your architecture to align AAP best practices for each domain. One use case we can hone in on is network automation.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NOTES:</w:t>
      </w:r>
    </w:p>
    <w:p w:rsidR="00000000" w:rsidDel="00000000" w:rsidP="00000000" w:rsidRDefault="00000000" w:rsidRPr="00000000" w14:paraId="0000000C">
      <w:pPr>
        <w:rPr/>
      </w:pPr>
      <w:r w:rsidDel="00000000" w:rsidR="00000000" w:rsidRPr="00000000">
        <w:rPr>
          <w:rtl w:val="0"/>
        </w:rPr>
        <w:t xml:space="preserve">-Rancher: What are the workloads / use cases for Rancher? Do you have any other kubernetes usage onsite?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