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Executive Summary: Blue Yonder Strategic Business Alignment</w:t>
      </w:r>
    </w:p>
    <w:p w:rsidR="00000000" w:rsidDel="00000000" w:rsidP="00000000" w:rsidRDefault="00000000" w:rsidRPr="00000000" w14:paraId="00000002">
      <w:pPr>
        <w:rPr>
          <w:i w:val="1"/>
          <w:iCs w:val="1"/>
        </w:rPr>
      </w:pPr>
      <w:r w:rsidDel="00000000" w:rsidR="00000000" w:rsidRPr="00000000">
        <w:rPr>
          <w:i w:val="1"/>
          <w:iCs w:val="1"/>
          <w:rtl w:val="0"/>
        </w:rPr>
        <w:t xml:space="preserve">To ensure our continued partnership is fully aligned with your strategic vision and current market realities, we have summarized our understanding of Blue Yonder’s core objectives, critical challenges, and the key market dynamics influencing your business.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Vision &amp; Cloud Transformation:</w:t>
      </w:r>
      <w:r w:rsidDel="00000000" w:rsidR="00000000" w:rsidRPr="00000000">
        <w:rPr>
          <w:rtl w:val="0"/>
        </w:rPr>
        <w:t xml:space="preserve"> Your overriding objective is to serve as the definitive "supply chain operating system" for the world, completing the transition from legacy on-premise software to a unified, cloud-native SaaS business built upon the Luminate Cognitive Platform 1, 2.</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AI-Driven Innovation:</w:t>
      </w:r>
      <w:r w:rsidDel="00000000" w:rsidR="00000000" w:rsidRPr="00000000">
        <w:rPr>
          <w:rtl w:val="0"/>
        </w:rPr>
        <w:t xml:space="preserve"> Backed by Panasonic's substantial annual R&amp;D commitment, your IT and product strategy is heavily focused on pioneering autonomous supply chains. Through the deployment of "Agentic AI" (Ops Agents) and the generative AI-powered Blue Yonder Orchestrator, you are enabling your customers to identify, analyze, and autonomously resolve supply chain disruptions in real time 3-6.</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Ecosystem Unification via M&amp;A:</w:t>
      </w:r>
      <w:r w:rsidDel="00000000" w:rsidR="00000000" w:rsidRPr="00000000">
        <w:rPr>
          <w:rtl w:val="0"/>
        </w:rPr>
        <w:t xml:space="preserve"> A primary digital initiative is the rapid technological integration of your strategic acquisitions—such as One Network Enterprises, Doddle, and flexis. Unifying these architectures aims to provide a seamless, multi-enterprise digital ecosystem that connects over 150,000 trading partners globally 2, 7-9.</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The Legacy Migration Challenge:</w:t>
      </w:r>
      <w:r w:rsidDel="00000000" w:rsidR="00000000" w:rsidRPr="00000000">
        <w:rPr>
          <w:rtl w:val="0"/>
        </w:rPr>
        <w:t xml:space="preserve"> A critical internal challenge threatening your innovation velocity is technical debt. Supporting a significant cohort of customers still on legacy on-premise installations (like JDA and RedPrairie) consumes valuable engineering capacity, making automated, frictionless cloud migration initiatives essential to freeing up resources for cross-platform feature development 10-13.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Fierce Competitive Pressures:</w:t>
      </w:r>
      <w:r w:rsidDel="00000000" w:rsidR="00000000" w:rsidRPr="00000000">
        <w:rPr>
          <w:rtl w:val="0"/>
        </w:rPr>
        <w:t xml:space="preserve"> Your market position is challenged on two distinct fronts: agile, AI-native disruptors (such as o9 Solutions) offering rapid deployment cycles, and massive ERP incumbents (like SAP and Oracle) bundling "good enough" SCM modules. Consequently, accelerating Time-to-Value and optimizing the Total Cost of Ownership (TCO) are vital IT and business objectives to protect market share and expand into the mid-market 10, 14-16.</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Macroeconomic &amp; Geopolitical Volatility:</w:t>
      </w:r>
      <w:r w:rsidDel="00000000" w:rsidR="00000000" w:rsidRPr="00000000">
        <w:rPr>
          <w:rtl w:val="0"/>
        </w:rPr>
        <w:t xml:space="preserve"> Frequent geopolitical disruptions, rising protectionism, and fluctuating trade tariffs are fundamentally reshaping global logistics. This volatility is forcing the industry to shift from hyper-lean "just-in-time" models to highly resilient "just-in-case" strategies, driving immense demand for your dynamic capacity planning and network modeling tools 17-20.</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Compliance, ESG, and Data Sovereignty:</w:t>
      </w:r>
      <w:r w:rsidDel="00000000" w:rsidR="00000000" w:rsidRPr="00000000">
        <w:rPr>
          <w:rtl w:val="0"/>
        </w:rPr>
        <w:t xml:space="preserve"> As you expand into highly regulated sectors like defense and government, and as global mandates around sustainability (e.g., Scope 3 emissions tracking) tighten, your platforms must deliver stringent ESG reporting, military-grade cybersecurity, and complex data sovereignty controls across a fragmented global landscape 21-24.</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