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191A" w14:textId="77777777" w:rsidR="00DD4090" w:rsidRDefault="00000000">
      <w:pPr>
        <w:pStyle w:val="Heading1"/>
      </w:pPr>
      <w:r>
        <w:t>AI AGENT INSTRUCTIONS FOR UNIVERSAL FAR INGESTION</w:t>
      </w:r>
    </w:p>
    <w:p w14:paraId="6374D1F6" w14:textId="77777777" w:rsidR="00DD4090" w:rsidRDefault="00000000">
      <w:r>
        <w:t>This document provides the full instruction set for upgrading the BCCS-US Adaptive Compliance Engine to support universal FAR ingestion across all applicable U.S. aviation regulatory frameworks. These instructions are intended for the AI development agent responsible for interpreting, mapping, and continuously updating regulatory content, checklist structures, and compliance artifacts across all certificate types and regulatory environments.</w:t>
      </w:r>
    </w:p>
    <w:p w14:paraId="13A7AA34" w14:textId="77777777" w:rsidR="00DD4090" w:rsidRDefault="00000000">
      <w:pPr>
        <w:pStyle w:val="Heading2"/>
      </w:pPr>
      <w:r>
        <w:t>1. OBJECTIVE</w:t>
      </w:r>
    </w:p>
    <w:p w14:paraId="22394C95" w14:textId="77777777" w:rsidR="00DD4090" w:rsidRDefault="00000000">
      <w:r>
        <w:t>Transform the BCCS-US platform into a universal regulatory ingestion system capable of dynamically loading, interpreting, harmonizing, and updating any FAR Part/Subpart and all supporting FAA guidance documents, enabling Adaptive Compliance across all aviation operator types.</w:t>
      </w:r>
    </w:p>
    <w:p w14:paraId="0B3BB2BE" w14:textId="77777777" w:rsidR="00DD4090" w:rsidRDefault="00000000">
      <w:pPr>
        <w:pStyle w:val="Heading2"/>
      </w:pPr>
      <w:r>
        <w:t>2. REQUIRED INPUTS</w:t>
      </w:r>
    </w:p>
    <w:p w14:paraId="0C44E8DC" w14:textId="77777777" w:rsidR="00DD4090" w:rsidRDefault="00000000">
      <w:r>
        <w:t>• User-selected FAR Part/Subpart (e.g., Parts 121, 135, 141, 142, 145).</w:t>
      </w:r>
    </w:p>
    <w:p w14:paraId="4AA5FE7D" w14:textId="77777777" w:rsidR="00DD4090" w:rsidRDefault="00000000">
      <w:r>
        <w:t>• Applicable OpSpecs, LOAs, TCOs, AQP approvals, or training program approvals.</w:t>
      </w:r>
    </w:p>
    <w:p w14:paraId="5D20CE96" w14:textId="77777777" w:rsidR="00DD4090" w:rsidRDefault="00000000">
      <w:r>
        <w:t>• Current full text of 14 CFR (Title 14).</w:t>
      </w:r>
    </w:p>
    <w:p w14:paraId="4EA22DC7" w14:textId="77777777" w:rsidR="00DD4090" w:rsidRDefault="00000000">
      <w:r>
        <w:t>• FAA Order 8900.1 (all relevant volumes).</w:t>
      </w:r>
    </w:p>
    <w:p w14:paraId="3EC30A9A" w14:textId="77777777" w:rsidR="00DD4090" w:rsidRDefault="00000000">
      <w:r>
        <w:t>• SAFOs, InFOs, Notices, bulletins, AFS directives.</w:t>
      </w:r>
    </w:p>
    <w:p w14:paraId="5B7A9195" w14:textId="77777777" w:rsidR="00DD4090" w:rsidRDefault="00000000">
      <w:r>
        <w:t>• NSP/QAG materials for simulator qualification requirements.</w:t>
      </w:r>
    </w:p>
    <w:p w14:paraId="082FE097" w14:textId="77777777" w:rsidR="00DD4090" w:rsidRDefault="00000000">
      <w:r>
        <w:t>• Regional FSDO/CHDO/CMO supplemental checklists.</w:t>
      </w:r>
    </w:p>
    <w:p w14:paraId="2FC7C411" w14:textId="77777777" w:rsidR="00DD4090" w:rsidRDefault="00000000">
      <w:r>
        <w:t>• Operator-specific manuals and checklist variants (optional).</w:t>
      </w:r>
    </w:p>
    <w:p w14:paraId="1DB99765" w14:textId="77777777" w:rsidR="00DD4090" w:rsidRDefault="00000000">
      <w:pPr>
        <w:pStyle w:val="Heading2"/>
      </w:pPr>
      <w:r>
        <w:t>3. CORE SYSTEM CAPABILITIES REQUIRED</w:t>
      </w:r>
    </w:p>
    <w:p w14:paraId="73F1C1A6" w14:textId="77777777" w:rsidR="00DD4090" w:rsidRDefault="00000000">
      <w:pPr>
        <w:pStyle w:val="Heading3"/>
      </w:pPr>
      <w:r>
        <w:t>3.1 FAR Ingestion Engine</w:t>
      </w:r>
    </w:p>
    <w:p w14:paraId="1C9EF3D8" w14:textId="77777777" w:rsidR="00DD4090" w:rsidRDefault="00000000">
      <w:r>
        <w:t>Ingest and store all relevant parts of 14 CFR, including references, definitions, requirements, and cross-links. Maintain version control and link each regulation to its corresponding eCFR entry.</w:t>
      </w:r>
    </w:p>
    <w:p w14:paraId="18FD66BC" w14:textId="77777777" w:rsidR="00DD4090" w:rsidRDefault="00000000">
      <w:pPr>
        <w:pStyle w:val="Heading3"/>
      </w:pPr>
      <w:r>
        <w:t>3.2 FAA Policy Ingestion Layer</w:t>
      </w:r>
    </w:p>
    <w:p w14:paraId="4C5AF5CA" w14:textId="77777777" w:rsidR="00DD4090" w:rsidRDefault="00000000">
      <w:r>
        <w:t>Process FAA Orders (especially 8900.1), SAFOs, InFOs, and Policy Notices. Convert all documents into structured formats aligned with the regulatory graph.</w:t>
      </w:r>
    </w:p>
    <w:p w14:paraId="589428C3" w14:textId="77777777" w:rsidR="00DD4090" w:rsidRDefault="00000000">
      <w:pPr>
        <w:pStyle w:val="Heading3"/>
      </w:pPr>
      <w:r>
        <w:t>3.3 Checklist Ingestion Module</w:t>
      </w:r>
    </w:p>
    <w:p w14:paraId="46ECADA3" w14:textId="77777777" w:rsidR="00DD4090" w:rsidRDefault="00000000">
      <w:r>
        <w:t>Support ingestion of FAA master checklists, regional variants, inspector-customized lists, and operator-specific checklists. Normalize these inputs to a unified checklist schema.</w:t>
      </w:r>
    </w:p>
    <w:p w14:paraId="00CE162B" w14:textId="77777777" w:rsidR="00DD4090" w:rsidRDefault="00000000">
      <w:pPr>
        <w:pStyle w:val="Heading3"/>
      </w:pPr>
      <w:r>
        <w:lastRenderedPageBreak/>
        <w:t>3.4 Regulatory Spine Identification</w:t>
      </w:r>
    </w:p>
    <w:p w14:paraId="7D351BD3" w14:textId="77777777" w:rsidR="00DD4090" w:rsidRDefault="00000000">
      <w:r>
        <w:t>Using the selected FAR Part/Subpart, identify the primary regulatory spine and attach all secondary regulatory references (cross-parts, OpSpecs, notices, guidance documents) to form a complete regulatory requirements map.</w:t>
      </w:r>
    </w:p>
    <w:p w14:paraId="7979744C" w14:textId="77777777" w:rsidR="00DD4090" w:rsidRDefault="00000000">
      <w:pPr>
        <w:pStyle w:val="Heading3"/>
      </w:pPr>
      <w:r>
        <w:t>3.5 Harmonization Engine</w:t>
      </w:r>
    </w:p>
    <w:p w14:paraId="436F7CB9" w14:textId="77777777" w:rsidR="00DD4090" w:rsidRDefault="00000000">
      <w:r>
        <w:t>Map checklist items to regulatory references. Detect deltas (missing, added, reordered) between checklist versions. Ensure all requirements in the regulatory spine are fully covered.</w:t>
      </w:r>
    </w:p>
    <w:p w14:paraId="27109B74" w14:textId="77777777" w:rsidR="00DD4090" w:rsidRDefault="00000000">
      <w:pPr>
        <w:pStyle w:val="Heading3"/>
      </w:pPr>
      <w:r>
        <w:t>3.6 Evidence Indexing Module</w:t>
      </w:r>
    </w:p>
    <w:p w14:paraId="4328673D" w14:textId="77777777" w:rsidR="00DD4090" w:rsidRDefault="00000000">
      <w:r>
        <w:t>Index each evidence artifact to multiple regulatory references, checklist items, and operational contexts. Associate each artifact with its blockchain hash for integrity verification.</w:t>
      </w:r>
    </w:p>
    <w:p w14:paraId="000D6E8C" w14:textId="77777777" w:rsidR="00DD4090" w:rsidRDefault="00000000">
      <w:pPr>
        <w:pStyle w:val="Heading3"/>
      </w:pPr>
      <w:r>
        <w:t>3.7 Evidence-On-Demand Retrieval</w:t>
      </w:r>
    </w:p>
    <w:p w14:paraId="1E56AD1B" w14:textId="77777777" w:rsidR="00DD4090" w:rsidRDefault="00000000">
      <w:r>
        <w:t>When a user selects any checklist item or regulatory reference, instantly retrieve all associated evidence items, including blockchain verification summaries.</w:t>
      </w:r>
    </w:p>
    <w:p w14:paraId="7E3B99C8" w14:textId="77777777" w:rsidR="00DD4090" w:rsidRDefault="00000000">
      <w:pPr>
        <w:pStyle w:val="Heading3"/>
      </w:pPr>
      <w:r>
        <w:t>3.8 Adaptive Compliance Logic</w:t>
      </w:r>
    </w:p>
    <w:p w14:paraId="4F87853E" w14:textId="77777777" w:rsidR="00DD4090" w:rsidRDefault="00000000">
      <w:r>
        <w:t>Automatically update the harmonized regulatory map, checklist structure, and evidence references when regulatory changes occur or when new agency notices are issued.</w:t>
      </w:r>
    </w:p>
    <w:p w14:paraId="1D0F7178" w14:textId="77777777" w:rsidR="00DD4090" w:rsidRDefault="00000000">
      <w:pPr>
        <w:pStyle w:val="Heading3"/>
      </w:pPr>
      <w:r>
        <w:t>3.9 Multi-Part Support</w:t>
      </w:r>
    </w:p>
    <w:p w14:paraId="7480C92E" w14:textId="77777777" w:rsidR="00DD4090" w:rsidRDefault="00000000">
      <w:r>
        <w:t>Enable simultaneous application of regulations from multiple parts (e.g., 121+142, 135+145) when operations overlap across domains.</w:t>
      </w:r>
    </w:p>
    <w:p w14:paraId="0BB2D995" w14:textId="77777777" w:rsidR="00DD4090" w:rsidRDefault="00000000">
      <w:pPr>
        <w:pStyle w:val="Heading2"/>
      </w:pPr>
      <w:r>
        <w:t>4. IMPLEMENTATION STEPS</w:t>
      </w:r>
    </w:p>
    <w:p w14:paraId="6751E3F2" w14:textId="77777777" w:rsidR="00DD4090" w:rsidRDefault="00000000">
      <w:r>
        <w:t>• Develop ingestion APIs for CFR, FAA Orders, SAFOs, InFOs, and OpSpecs/LOAs.</w:t>
      </w:r>
    </w:p>
    <w:p w14:paraId="4BA2AB4E" w14:textId="77777777" w:rsidR="00DD4090" w:rsidRDefault="00000000">
      <w:r>
        <w:t>• Build a unified regulatory graph linking all ingested data.</w:t>
      </w:r>
    </w:p>
    <w:p w14:paraId="3A92BADC" w14:textId="77777777" w:rsidR="00DD4090" w:rsidRDefault="00000000">
      <w:r>
        <w:t>• Implement the Regulatory Spine Selector for any FAR Part/Subpart.</w:t>
      </w:r>
    </w:p>
    <w:p w14:paraId="2A175680" w14:textId="77777777" w:rsidR="00DD4090" w:rsidRDefault="00000000">
      <w:r>
        <w:t>• Integrate Harmonization Engine to align all checklists with the regulatory graph.</w:t>
      </w:r>
    </w:p>
    <w:p w14:paraId="5C5E3867" w14:textId="77777777" w:rsidR="00DD4090" w:rsidRDefault="00000000">
      <w:r>
        <w:t>• Enhance the Evidence Indexing Layer to support multi-reference relationships.</w:t>
      </w:r>
    </w:p>
    <w:p w14:paraId="25A6A155" w14:textId="77777777" w:rsidR="00DD4090" w:rsidRDefault="00000000">
      <w:r>
        <w:t>• Implement automatic monitoring for regulatory updates from FAA and the eCFR.</w:t>
      </w:r>
    </w:p>
    <w:p w14:paraId="04881286" w14:textId="77777777" w:rsidR="00DD4090" w:rsidRDefault="00000000">
      <w:r>
        <w:t>• Refactor the UI to consolidate all regulatory interactions into the Adaptive Compliance tab.</w:t>
      </w:r>
    </w:p>
    <w:p w14:paraId="733B4D95" w14:textId="77777777" w:rsidR="00DD4090" w:rsidRDefault="00000000">
      <w:r>
        <w:t>• Connect all compliance objects to blockchain verification functions.</w:t>
      </w:r>
    </w:p>
    <w:p w14:paraId="451C4218" w14:textId="77777777" w:rsidR="00DD4090" w:rsidRDefault="00000000">
      <w:r>
        <w:t>• Perform validation by testing ingestion and mapping across at least three FAR Parts.</w:t>
      </w:r>
    </w:p>
    <w:p w14:paraId="68205B06" w14:textId="77777777" w:rsidR="00DD4090" w:rsidRDefault="00000000">
      <w:r>
        <w:t>• Prepare for expansion to international (non-U.S.) regulatory frameworks.</w:t>
      </w:r>
    </w:p>
    <w:p w14:paraId="3C50D9E2" w14:textId="77777777" w:rsidR="00DD4090" w:rsidRDefault="00000000">
      <w:pPr>
        <w:pStyle w:val="Heading2"/>
      </w:pPr>
      <w:r>
        <w:lastRenderedPageBreak/>
        <w:t>5. ACCEPTANCE CRITERIA</w:t>
      </w:r>
    </w:p>
    <w:p w14:paraId="04C391BD" w14:textId="77777777" w:rsidR="00DD4090" w:rsidRDefault="00000000">
      <w:r>
        <w:t>• The system correctly ingests and normalizes all selected FAR Parts and supporting documents.</w:t>
      </w:r>
    </w:p>
    <w:p w14:paraId="5DBAC2F2" w14:textId="77777777" w:rsidR="00DD4090" w:rsidRDefault="00000000">
      <w:r>
        <w:t>• Selecting any FAR Part/Subpart automatically generates a fully linked regulatory spine.</w:t>
      </w:r>
    </w:p>
    <w:p w14:paraId="60D59C19" w14:textId="77777777" w:rsidR="00DD4090" w:rsidRDefault="00000000">
      <w:r>
        <w:t>• Checklist harmonization is accurate across FAA, regional, and operator-specific sources.</w:t>
      </w:r>
    </w:p>
    <w:p w14:paraId="7DD25148" w14:textId="77777777" w:rsidR="00DD4090" w:rsidRDefault="00000000">
      <w:r>
        <w:t>• Evidence retrieval for any regulatory anchor or checklist item is instantaneous.</w:t>
      </w:r>
    </w:p>
    <w:p w14:paraId="08852E12" w14:textId="77777777" w:rsidR="00DD4090" w:rsidRDefault="00000000">
      <w:r>
        <w:t>• Blockchain verification is attached to every evidence item.</w:t>
      </w:r>
    </w:p>
    <w:p w14:paraId="78452634" w14:textId="77777777" w:rsidR="00DD4090" w:rsidRDefault="00000000">
      <w:r>
        <w:t>• Regulatory changes automatically trigger updates throughout the compliance model.</w:t>
      </w:r>
    </w:p>
    <w:p w14:paraId="0FD7858A" w14:textId="77777777" w:rsidR="00DD4090" w:rsidRDefault="00000000">
      <w:r>
        <w:t>• No Part-specific system branches exist; all logic is adaptive and universal.</w:t>
      </w:r>
    </w:p>
    <w:p w14:paraId="5A2AC14B" w14:textId="77777777" w:rsidR="00DD4090" w:rsidRDefault="00000000">
      <w:pPr>
        <w:pStyle w:val="Heading2"/>
      </w:pPr>
      <w:r>
        <w:t>6. OUTPUTS OF THE AI AGENT</w:t>
      </w:r>
    </w:p>
    <w:p w14:paraId="354642FF" w14:textId="77777777" w:rsidR="00DD4090" w:rsidRDefault="00000000">
      <w:r>
        <w:t>The agent must produce a fully functional universal FAR ingestion system enabling BCCS-US to serve as a single Adaptive Compliance OS for all U.S. aviation operations. Outputs include updated schemas, ingestion pipelines, regulatory graph, harmonized checklist structures, evidence mappings, UI updates, and complete integration with blockchain-backed verification.</w:t>
      </w:r>
    </w:p>
    <w:sectPr w:rsidR="00DD40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555379">
    <w:abstractNumId w:val="8"/>
  </w:num>
  <w:num w:numId="2" w16cid:durableId="1341540242">
    <w:abstractNumId w:val="6"/>
  </w:num>
  <w:num w:numId="3" w16cid:durableId="1813596311">
    <w:abstractNumId w:val="5"/>
  </w:num>
  <w:num w:numId="4" w16cid:durableId="278029830">
    <w:abstractNumId w:val="4"/>
  </w:num>
  <w:num w:numId="5" w16cid:durableId="2113889701">
    <w:abstractNumId w:val="7"/>
  </w:num>
  <w:num w:numId="6" w16cid:durableId="968975520">
    <w:abstractNumId w:val="3"/>
  </w:num>
  <w:num w:numId="7" w16cid:durableId="1873301032">
    <w:abstractNumId w:val="2"/>
  </w:num>
  <w:num w:numId="8" w16cid:durableId="1896892646">
    <w:abstractNumId w:val="1"/>
  </w:num>
  <w:num w:numId="9" w16cid:durableId="759453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20F"/>
    <w:rsid w:val="0029639D"/>
    <w:rsid w:val="00326F90"/>
    <w:rsid w:val="00AA1D8D"/>
    <w:rsid w:val="00B47730"/>
    <w:rsid w:val="00CB0664"/>
    <w:rsid w:val="00DD4090"/>
    <w:rsid w:val="00E26E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11918"/>
  <w14:defaultImageDpi w14:val="300"/>
  <w15:docId w15:val="{3F2E73A0-4B0D-4E1A-9A19-D3AE72E2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Frederick Nichols</cp:lastModifiedBy>
  <cp:revision>2</cp:revision>
  <dcterms:created xsi:type="dcterms:W3CDTF">2025-12-03T03:23:00Z</dcterms:created>
  <dcterms:modified xsi:type="dcterms:W3CDTF">2025-12-03T03:23:00Z</dcterms:modified>
  <cp:category/>
</cp:coreProperties>
</file>