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Devised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implemented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accompanying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Authored much of the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me to learn the Hangul alphabet and all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neurofeedback training software system, and developed networked games for the system that were controlled by the brain via real-time EEG and EMG data.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 for a BI reporting product, including UI design and implementation.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trained, delegated, instituted standards, and reviewed code.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automated asset auditing and management application.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3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5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in a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