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4E5F"/>
          <w:sz w:val="34"/>
          <w:szCs w:val="34"/>
        </w:rPr>
        <w:t xml:space="preserve">K-소비재 수출 데이터셋 — 한 장 요약</w:t>
      </w:r>
    </w:p>
    <w:p>
      <w:pPr>
        <w:pBdr>
          <w:bottom w:val="single" w:color="1F4E5F" w:sz="8"/>
        </w:pBdr>
        <w:spacing w:after="60"/>
      </w:pPr>
      <w:r>
        <w:rPr>
          <w:sz w:val="2"/>
          <w:szCs w:val="2"/>
        </w:rPr>
        <w:t xml:space="preserve"/>
      </w:r>
    </w:p>
    <w:p>
      <w:pPr>
        <w:spacing w:after="300" w:before="0" w:line="276"/>
      </w:pPr>
      <w:r>
        <w:rPr>
          <w:rFonts w:ascii="맑은 고딕" w:cs="맑은 고딕" w:eastAsia="맑은 고딕" w:hAnsi="맑은 고딕"/>
          <w:color w:val="6B6B6B"/>
          <w:sz w:val="18"/>
          <w:szCs w:val="18"/>
        </w:rPr>
        <w:t xml:space="preserve">2026-07  ·  KWCI 경제 레이어 1차 산출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F4E5F"/>
          <w:sz w:val="26"/>
          <w:szCs w:val="26"/>
        </w:rPr>
        <w:t xml:space="preserve">물음</w:t>
      </w:r>
    </w:p>
    <w:p>
      <w:pPr>
        <w:spacing w:after="6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한류의 경제 성과를 국가별로 재려면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먼저 “어떤 품목이 한류 소비재인가”를 정해야 한다. “라면은 한류다”라고 선언하면 결론을 전제로 쓰는 것이 된다. 연구자의 직관이 아닌 기준으로 고를 수 있는가.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F4E5F"/>
          <w:sz w:val="26"/>
          <w:szCs w:val="26"/>
        </w:rPr>
        <w:t xml:space="preserve">답한 방식</w:t>
      </w:r>
    </w:p>
    <w:p>
      <w:pPr>
        <w:spacing w:after="14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사람이 고르지 않고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공개 분류와 정량 기준으로 걸렀다.</w:t>
      </w:r>
    </w:p>
    <w:p>
      <w:pPr>
        <w:spacing w:after="0" w:before="60"/>
        <w:ind w:left="260"/>
      </w:pPr>
      <w:r>
        <w:rPr>
          <w:rFonts w:ascii="Consolas" w:cs="Consolas" w:eastAsia="Consolas" w:hAnsi="Consolas"/>
          <w:color w:val="2E4A52"/>
          <w:sz w:val="17"/>
          <w:szCs w:val="17"/>
        </w:rPr>
        <w:t xml:space="preserve">HS 5,611개</w:t>
      </w:r>
    </w:p>
    <w:p>
      <w:pPr>
        <w:spacing w:after="0" w:before="0"/>
        <w:ind w:left="260"/>
      </w:pPr>
      <w:r>
        <w:rPr>
          <w:rFonts w:ascii="Consolas" w:cs="Consolas" w:eastAsia="Consolas" w:hAnsi="Consolas"/>
          <w:color w:val="2E4A52"/>
          <w:sz w:val="17"/>
          <w:szCs w:val="17"/>
        </w:rPr>
        <w:t xml:space="preserve"> ├ S0   UN BEC 최종소비재만                 →  1,481</w:t>
      </w:r>
    </w:p>
    <w:p>
      <w:pPr>
        <w:spacing w:after="0" w:before="0"/>
        <w:ind w:left="260"/>
      </w:pPr>
      <w:r>
        <w:rPr>
          <w:rFonts w:ascii="Consolas" w:cs="Consolas" w:eastAsia="Consolas" w:hAnsi="Consolas"/>
          <w:color w:val="2E4A52"/>
          <w:sz w:val="17"/>
          <w:szCs w:val="17"/>
        </w:rPr>
        <w:t xml:space="preserve"> ├ S1   aT·대한화장품협회·KOTRA 공식 분류    →    928  ← 동결</w:t>
      </w:r>
    </w:p>
    <w:p>
      <w:pPr>
        <w:spacing w:after="0" w:before="0"/>
        <w:ind w:left="260"/>
      </w:pPr>
      <w:r>
        <w:rPr>
          <w:rFonts w:ascii="Consolas" w:cs="Consolas" w:eastAsia="Consolas" w:hAnsi="Consolas"/>
          <w:color w:val="2E4A52"/>
          <w:sz w:val="17"/>
          <w:szCs w:val="17"/>
        </w:rPr>
        <w:t xml:space="preserve"> ├ A    관세청 전수 조회, 수출액 상위        →     75</w:t>
      </w:r>
    </w:p>
    <w:p>
      <w:pPr>
        <w:spacing w:after="160" w:before="0"/>
        <w:ind w:left="260"/>
      </w:pPr>
      <w:r>
        <w:rPr>
          <w:rFonts w:ascii="Consolas" w:cs="Consolas" w:eastAsia="Consolas" w:hAnsi="Consolas"/>
          <w:color w:val="2E4A52"/>
          <w:sz w:val="17"/>
          <w:szCs w:val="17"/>
        </w:rPr>
        <w:t xml:space="preserve"> └ S2   현시비교우위 RCA ≥ 1                →     23</w:t>
      </w:r>
    </w:p>
    <w:p>
      <w:pPr>
        <w:spacing w:after="14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928개 시점에서 목록을 SHA-256으로 동결했다.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검정 결과를 보고 후보를 바꾸면 해시가 달라진다. 사후 선택이 없었음을 파일로 증명한다.</w:t>
      </w:r>
    </w:p>
    <w:p>
      <w:pPr>
        <w:spacing w:after="60" w:before="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관세청은 “한국이 얼마 팔았나”(분자)만 준다. RCA·단가 프리미엄은 “세계 평균 대비”가 필요하므로 Comtrade가 분모를 맡는다. 두 소스는 대체재가 아니다.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F4E5F"/>
          <w:sz w:val="26"/>
          <w:szCs w:val="26"/>
        </w:rPr>
        <w:t xml:space="preserve">산출</w:t>
      </w:r>
    </w:p>
    <w:p>
      <w:pPr>
        <w:spacing w:after="18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75품목 × 15개국 × 2018~2024 = 7,875칸.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관세청 호출 약 1만 회, 실패 0. 총액·총량에 더해 단가(USD/kg)를 냈다 — 같은 1kg을 더 비싸게 파는가가 문화 프리미엄의 가장 직접적인 형태다.</w:t>
      </w:r>
    </w:p>
    <w:tbl>
      <w:tblPr>
        <w:tblW w:type="dxa" w:w="9360"/>
        <w:tblBorders>
          <w:top w:val="single" w:color="D8D8D8" w:sz="4"/>
          <w:left w:val="none"/>
          <w:bottom w:val="single" w:color="D8D8D8" w:sz="4"/>
          <w:right w:val="none"/>
          <w:insideH w:val="single" w:color="D8D8D8" w:sz="2"/>
          <w:insideV w:val="none"/>
        </w:tblBorders>
      </w:tblPr>
      <w:tblGrid>
        <w:gridCol w:w="1900"/>
        <w:gridCol w:w="1200"/>
        <w:gridCol w:w="1200"/>
        <w:gridCol w:w="1300"/>
        <w:gridCol w:w="1560"/>
        <w:gridCol w:w="2200"/>
      </w:tblGrid>
      <w:tr>
        <w:trPr>
          <w:tblHeader/>
        </w:trPr>
        <w:tc>
          <w:tcPr>
            <w:tcW w:type="dxa" w:w="1900"/>
            <w:shd w:fill="F2F5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2F5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2018</w:t>
            </w:r>
          </w:p>
        </w:tc>
        <w:tc>
          <w:tcPr>
            <w:tcW w:type="dxa" w:w="1200"/>
            <w:shd w:fill="F2F5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2024</w:t>
            </w:r>
          </w:p>
        </w:tc>
        <w:tc>
          <w:tcPr>
            <w:tcW w:type="dxa" w:w="1300"/>
            <w:shd w:fill="F2F5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지수</w:t>
            </w:r>
          </w:p>
        </w:tc>
        <w:tc>
          <w:tcPr>
            <w:tcW w:type="dxa" w:w="1560"/>
            <w:shd w:fill="F2F5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RCA 통과</w:t>
            </w:r>
          </w:p>
        </w:tc>
        <w:tc>
          <w:tcPr>
            <w:tcW w:type="dxa" w:w="2200"/>
            <w:shd w:fill="F2F5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ENM (다변화)</w:t>
            </w:r>
          </w:p>
        </w:tc>
      </w:tr>
      <w:tr>
        <w:tc>
          <w:tcPr>
            <w:tcW w:type="dxa" w:w="1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K-Beauty</w:t>
            </w:r>
          </w:p>
        </w:tc>
        <w:tc>
          <w:tcPr>
            <w:tcW w:type="dxa" w:w="1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44억$</w:t>
            </w:r>
          </w:p>
        </w:tc>
        <w:tc>
          <w:tcPr>
            <w:tcW w:type="dxa" w:w="1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72억$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164.6</w:t>
            </w:r>
          </w:p>
        </w:tc>
        <w:tc>
          <w:tcPr>
            <w:tcW w:type="dxa" w:w="15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6/15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5F"/>
                <w:sz w:val="18"/>
                <w:szCs w:val="18"/>
              </w:rPr>
              <w:t xml:space="preserve">2.49 → 4.58</w:t>
            </w:r>
          </w:p>
        </w:tc>
      </w:tr>
      <w:tr>
        <w:tc>
          <w:tcPr>
            <w:tcW w:type="dxa" w:w="1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K-Food</w:t>
            </w:r>
          </w:p>
        </w:tc>
        <w:tc>
          <w:tcPr>
            <w:tcW w:type="dxa" w:w="1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33억$</w:t>
            </w:r>
          </w:p>
        </w:tc>
        <w:tc>
          <w:tcPr>
            <w:tcW w:type="dxa" w:w="1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53억$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161.4</w:t>
            </w:r>
          </w:p>
        </w:tc>
        <w:tc>
          <w:tcPr>
            <w:tcW w:type="dxa" w:w="15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14/30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5.62 → 5.74</w:t>
            </w:r>
          </w:p>
        </w:tc>
      </w:tr>
      <w:tr>
        <w:tc>
          <w:tcPr>
            <w:tcW w:type="dxa" w:w="1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K-Fashion</w:t>
            </w:r>
          </w:p>
        </w:tc>
        <w:tc>
          <w:tcPr>
            <w:tcW w:type="dxa" w:w="1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17억$</w:t>
            </w:r>
          </w:p>
        </w:tc>
        <w:tc>
          <w:tcPr>
            <w:tcW w:type="dxa" w:w="1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18억$</w:t>
            </w:r>
          </w:p>
        </w:tc>
        <w:tc>
          <w:tcPr>
            <w:tcW w:type="dxa" w:w="1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4E5F"/>
                <w:sz w:val="18"/>
                <w:szCs w:val="18"/>
              </w:rPr>
              <w:t xml:space="preserve">104.4</w:t>
            </w:r>
          </w:p>
        </w:tc>
        <w:tc>
          <w:tcPr>
            <w:tcW w:type="dxa" w:w="15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5F"/>
                <w:sz w:val="18"/>
                <w:szCs w:val="18"/>
              </w:rPr>
              <w:t xml:space="preserve">3/30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5.20 → 5.22</w:t>
            </w:r>
          </w:p>
        </w:tc>
      </w:tr>
    </w:tbl>
    <w:p>
      <w:pPr>
        <w:spacing w:after="60" w:before="140" w:line="276"/>
      </w:pPr>
      <w:r>
        <w:rPr>
          <w:rFonts w:ascii="맑은 고딕" w:cs="맑은 고딕" w:eastAsia="맑은 고딕" w:hAnsi="맑은 고딕"/>
          <w:color w:val="6B6B6B"/>
          <w:sz w:val="18"/>
          <w:szCs w:val="18"/>
        </w:rPr>
        <w:t xml:space="preserve">공표 통계와 대조 — K-Beauty 총액 1.01배, 라면 1.12배, 한국 총수출 1.00배, 세계 총수출 0.95배.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F4E5F"/>
          <w:sz w:val="26"/>
          <w:szCs w:val="26"/>
        </w:rPr>
        <w:t xml:space="preserve">알게 된 것</w:t>
      </w:r>
    </w:p>
    <w:p>
      <w:pPr>
        <w:spacing w:after="14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하나. 사전 가설이 틀렸다.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착수 시 “K-Beauty의 중국 의존이 심화됐을 것”으로 보았으나 반대였다. ENM 2.49 → 4.58, 사실상 중국 단일 시장에서 미국·일본으로 분산됐다. 같은 기간 방한 관광은 중국 재집중으로 후퇴했다. 쏠림의 방향은 도메인마다 다르므로 “한류 전반의 쏠림 심화”로 묶으면 틀린 정책이 나온다.</w:t>
      </w:r>
    </w:p>
    <w:p>
      <w:pPr>
        <w:spacing w:after="14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둘. K-Fashion은 “약한 시장”이 아니라 “안 보이는 시장”일 수 있다.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성장 4%, RCA 통과 10%로 세 지표가 동시에 낮다. 그러나 같은 기간 패션 플랫폼 해외 매출은 크게 늘었다. 브랜드 완제품이 역직구로 나가면 일반 무역통계에서 과소계상된다. 이 수치는 “해외 판매 실적”이 아니라 “일반 무역통계에 잡힌 부분”이다. 전자상거래 통계와 대조하기 전까지 판정은 미결이다.</w:t>
      </w:r>
    </w:p>
    <w:p>
      <w:pPr>
        <w:spacing w:after="6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셋. 세 도메인의 상위 5개국이 거의 같다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(중국·미국·일본·베트남). 소비재 수출이 도메인 특성보다 시장 규모·근접성에 좌우될 가능성을 시사한다.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F4E5F"/>
          <w:sz w:val="26"/>
          <w:szCs w:val="26"/>
        </w:rPr>
        <w:t xml:space="preserve">아직 답하지 않은 것</w:t>
      </w:r>
    </w:p>
    <w:p>
      <w:pPr>
        <w:spacing w:after="14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이 데이터셋은 “한국이 무엇을 얼마나 파는가”를 쟀다.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“그것이 한류 때문인가”는 검정하지 않았다. RCA는 한국의 특화도를 잴 뿐이다.</w:t>
      </w:r>
    </w:p>
    <w:p>
      <w:pPr>
        <w:spacing w:after="140" w:before="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셋째 발견이 그 필요성을 보여준다. 구조가 이렇게 닮았으면 단순 상관으로는 “한류 때문”과 “시장이 크기 때문”을 구분할 수 없다. 판별에는 파트너 GDP·환율을 통제한 패널 회귀와, 반도체·석유·선박 같은 문화 무관 품목에 대한 위약검정이 필요하다. 위약 품목에서 계수가 유의하면 통제가 불충분한 것이므로 결과를 채택하지 않는다.</w:t>
      </w:r>
    </w:p>
    <w:p>
      <w:pPr>
        <w:spacing w:after="6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panel.csv 가 그 회귀의 종속변수다.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한류 신호 자료만 결합하면 바로 돌아간다.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F4E5F"/>
          <w:sz w:val="26"/>
          <w:szCs w:val="26"/>
        </w:rPr>
        <w:t xml:space="preserve">남은 과제</w:t>
      </w:r>
    </w:p>
    <w:tbl>
      <w:tblPr>
        <w:tblW w:type="dxa" w:w="9360"/>
        <w:tblBorders>
          <w:top w:val="single" w:color="D8D8D8" w:sz="4"/>
          <w:left w:val="none"/>
          <w:bottom w:val="single" w:color="D8D8D8" w:sz="4"/>
          <w:right w:val="none"/>
          <w:insideH w:val="single" w:color="D8D8D8" w:sz="2"/>
          <w:insideV w:val="none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F2F5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과제</w:t>
            </w:r>
          </w:p>
        </w:tc>
        <w:tc>
          <w:tcPr>
            <w:tcW w:type="dxa" w:w="4960"/>
            <w:shd w:fill="F2F5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필요한 것</w:t>
            </w:r>
          </w:p>
        </w:tc>
      </w:tr>
      <w:tr>
        <w:tc>
          <w:tcPr>
            <w:tcW w:type="dxa" w:w="4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S3 한류 반응성 검정</w:t>
            </w:r>
          </w:p>
        </w:tc>
        <w:tc>
          <w:tcPr>
            <w:tcW w:type="dxa" w:w="4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L3 신호(Trends·YouTube) 국가 × 기간</w:t>
            </w:r>
          </w:p>
        </w:tc>
      </w:tr>
      <w:tr>
        <w:tc>
          <w:tcPr>
            <w:tcW w:type="dxa" w:w="4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K-Fashion 판정</w:t>
            </w:r>
          </w:p>
        </w:tc>
        <w:tc>
          <w:tcPr>
            <w:tcW w:type="dxa" w:w="4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관세청 전자상거래 수출 통계</w:t>
            </w:r>
          </w:p>
        </w:tc>
      </w:tr>
      <w:tr>
        <w:tc>
          <w:tcPr>
            <w:tcW w:type="dxa" w:w="44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분기 시차 분석</w:t>
            </w:r>
          </w:p>
        </w:tc>
        <w:tc>
          <w:tcPr>
            <w:tcW w:type="dxa" w:w="4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월별 재수집 (현재는 연 단위)</w:t>
            </w:r>
          </w:p>
        </w:tc>
      </w:tr>
    </w:tbl>
    <w:p>
      <w:pPr>
        <w:spacing w:after="300" w:before="14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세 가지 모두 기존 코드로 처리되며, 재수집은 캐시 덕에 증분으로 끝난다.</w:t>
      </w:r>
    </w:p>
    <w:p>
      <w:pPr>
        <w:pBdr>
          <w:top w:val="single" w:color="D8D8D8" w:sz="4"/>
        </w:pBdr>
        <w:spacing w:before="120"/>
      </w:pPr>
      <w:r>
        <w:rPr>
          <w:sz w:val="2"/>
          <w:szCs w:val="2"/>
        </w:rPr>
        <w:t xml:space="preserve"/>
      </w:r>
    </w:p>
    <w:p>
      <w:pPr>
        <w:spacing w:after="140" w:before="100" w:line="276"/>
      </w:pPr>
      <w:r>
        <w:rPr>
          <w:rFonts w:ascii="맑은 고딕" w:cs="맑은 고딕" w:eastAsia="맑은 고딕" w:hAnsi="맑은 고딕"/>
          <w:color w:val="6B6B6B"/>
          <w:sz w:val="17"/>
          <w:szCs w:val="17"/>
        </w:rPr>
        <w:t xml:space="preserve">상세는 README.md(배포 요약)와 방법론_상세.md(전체 방법론·API 제약)를 참조.</w:t>
      </w:r>
    </w:p>
    <w:sectPr>
      <w:pgSz w:w="11906" w:h="16838" w:orient="portrait"/>
      <w:pgMar w:top="13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2026-07-31T03:27:46.600Z</dcterms:created>
  <dcterms:modified xsi:type="dcterms:W3CDTF">2026-07-31T03:27:46.600Z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