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160"/>
        <w:jc w:val="center"/>
      </w:pPr>
      <w:r>
        <w:rPr>
          <w:rFonts w:ascii="맑은 고딕" w:cs="맑은 고딕" w:eastAsia="맑은 고딕" w:hAnsi="맑은 고딕"/>
          <w:b/>
          <w:bCs/>
          <w:sz w:val="30"/>
          <w:szCs w:val="30"/>
        </w:rPr>
        <w:t xml:space="preserve">문답을 통한 자기입증과 이원 채점</w:t>
      </w:r>
    </w:p>
    <w:p>
      <w:pPr>
        <w:spacing w:after="300"/>
        <w:jc w:val="center"/>
      </w:pPr>
      <w:r>
        <w:rPr>
          <w:rFonts w:ascii="맑은 고딕" w:cs="맑은 고딕" w:eastAsia="맑은 고딕" w:hAnsi="맑은 고딕"/>
          <w:color w:val="555555"/>
          <w:sz w:val="20"/>
          <w:szCs w:val="20"/>
        </w:rPr>
        <w:t xml:space="preserve">정책 아이디어 평가를 위한 소크라테스식 AI 심의 방법과 그 이론적 근거</w:t>
      </w:r>
    </w:p>
    <w:p>
      <w:pPr>
        <w:pStyle w:val="Heading1"/>
        <w:spacing w:after="150" w:before="340"/>
      </w:pPr>
      <w:r>
        <w:rPr>
          <w:rFonts w:ascii="맑은 고딕" w:cs="맑은 고딕" w:eastAsia="맑은 고딕" w:hAnsi="맑은 고딕"/>
          <w:b/>
          <w:bCs/>
          <w:sz w:val="26"/>
          <w:szCs w:val="26"/>
        </w:rPr>
        <w:t xml:space="preserve">초록</w:t>
      </w:r>
    </w:p>
    <w:p>
      <w:pPr>
        <w:spacing w:after="140" w:line="340"/>
        <w:jc w:val="both"/>
      </w:pPr>
      <w:r>
        <w:rPr>
          <w:rFonts w:ascii="맑은 고딕" w:cs="맑은 고딕" w:eastAsia="맑은 고딕" w:hAnsi="맑은 고딕"/>
          <w:sz w:val="20"/>
          <w:szCs w:val="20"/>
        </w:rPr>
        <w:t xml:space="preserve">평가는 판단이다. 그런데 이 등식이 자명해 보이는 만큼, 그것이 감추는 것도 크다. 본 연구는 대형 언어모델을 판정자가 아니라 질문자의 자리에 놓는 정책 아이디어 평가 방법을 제안하고, 그 설계가 어디에 정박해 있는지를 밝힌다. 인공지능은 아이디어를 대신 판단하지 않는다. 소크라테스식 문답으로 제안자가 스스로 근거를 대게 하고, 그 대화의 기록을 규칙 기반 체크리스트와 전체 인상 판단이라는 두 심사위원이 독립적으로 채점한 뒤 평균한다. 모든 하위 점수는 대화의 특정 발언을 근거로 인용해야 하며, 인용 없는 판정은 성립하지 않는다. 세 평가 기준—독창성·실용성·수용태도—은 창의성 연구, 혁신확산이론, 기술수용모형, 그리고 반증가능성 인식론에 정박한다. 이 방법이 왜 아첨하지 않는 평가를 가능하게 하고, 왜 추가 비용 없이 설명 가능하며, 왜 숙의민주주의의 확장 도구가 되는지를 논한다.</w:t>
      </w:r>
    </w:p>
    <w:p>
      <w:pPr>
        <w:spacing w:after="140" w:line="340"/>
        <w:jc w:val="both"/>
      </w:pPr>
      <w:r>
        <w:rPr>
          <w:rFonts w:ascii="맑은 고딕" w:cs="맑은 고딕" w:eastAsia="맑은 고딕" w:hAnsi="맑은 고딕"/>
          <w:b/>
          <w:bCs/>
          <w:sz w:val="20"/>
          <w:szCs w:val="20"/>
        </w:rPr>
        <w:t xml:space="preserve">주제어</w:t>
      </w:r>
      <w:r>
        <w:rPr>
          <w:rFonts w:ascii="맑은 고딕" w:cs="맑은 고딕" w:eastAsia="맑은 고딕" w:hAnsi="맑은 고딕"/>
          <w:sz w:val="20"/>
          <w:szCs w:val="20"/>
        </w:rPr>
        <w:t xml:space="preserve">: 소크라테스 문답법, 이원 채점, 정책 평가, 반증가능성, 기술수용모형, 혁신확산이론, 설명가능한 인공지능, 숙의민주주의</w:t>
      </w:r>
    </w:p>
    <w:p>
      <w:pPr>
        <w:pStyle w:val="Heading1"/>
        <w:spacing w:after="150" w:before="340"/>
      </w:pPr>
      <w:r>
        <w:rPr>
          <w:rFonts w:ascii="맑은 고딕" w:cs="맑은 고딕" w:eastAsia="맑은 고딕" w:hAnsi="맑은 고딕"/>
          <w:b/>
          <w:bCs/>
          <w:sz w:val="26"/>
          <w:szCs w:val="26"/>
        </w:rPr>
        <w:t xml:space="preserve">1. 서론</w:t>
      </w:r>
    </w:p>
    <w:p>
      <w:pPr>
        <w:spacing w:after="140" w:line="340"/>
        <w:jc w:val="both"/>
      </w:pPr>
      <w:r>
        <w:rPr>
          <w:rFonts w:ascii="맑은 고딕" w:cs="맑은 고딕" w:eastAsia="맑은 고딕" w:hAnsi="맑은 고딕"/>
          <w:sz w:val="20"/>
          <w:szCs w:val="20"/>
        </w:rPr>
        <w:t xml:space="preserve">좋은 정책과 나쁜 정책을 가르는 선은 어디에 있는가. 이 물음 앞에서 우리가 내리는 판단은, 대개 판단이 내려진 뒤에 그 근거가 구성된다. 먼저 인상이 오고, 정당화는 나중에 도착한다. 정책 아이디어 평가가 오래 안고 온 곤경은 바로 이 순서에 있다.</w:t>
      </w:r>
    </w:p>
    <w:p>
      <w:pPr>
        <w:spacing w:after="140" w:line="340"/>
        <w:jc w:val="both"/>
      </w:pPr>
      <w:r>
        <w:rPr>
          <w:rFonts w:ascii="맑은 고딕" w:cs="맑은 고딕" w:eastAsia="맑은 고딕" w:hAnsi="맑은 고딕"/>
          <w:sz w:val="20"/>
          <w:szCs w:val="20"/>
        </w:rPr>
        <w:t xml:space="preserve">곤경은 세 겹이다. 무엇이 좋은 정책인지에 대한 기준이 평가자마다 다르고, 같은 평가자도 어제와 오늘이 다르다는 것—이것이 첫째 겹이다. 그러나 더 깊은 문제는 그다음에 있다. 기준의 불일치는 대개 권위로 봉합된다. 누가 평가했는가가 무엇을 근거로 평가했는가를 조용히 대체한다. 그리고 이 대체가 가능한 것은, 최종 점수에서 근거로 거슬러 올라가는 경로가 처음부터 존재하지 않기 때문이다. 설명될 수 없는 평가는 승복을 얻지 못하고, 승복을 얻지 못한 평가는 권위로만 유지된다. 세 겹은 이렇게 서로를 지탱한다.</w:t>
      </w:r>
    </w:p>
    <w:p>
      <w:pPr>
        <w:spacing w:after="140" w:line="340"/>
        <w:jc w:val="both"/>
      </w:pPr>
      <w:r>
        <w:rPr>
          <w:rFonts w:ascii="맑은 고딕" w:cs="맑은 고딕" w:eastAsia="맑은 고딕" w:hAnsi="맑은 고딕"/>
          <w:sz w:val="20"/>
          <w:szCs w:val="20"/>
        </w:rPr>
        <w:t xml:space="preserve">대형 언어모델은 이 오래된 곤경에 개입할 힘을 가진 듯 보였다. 그러나 그것을 그대로 심사관의 자리에 앉히면, 곤경은 해소되는 대신 이전된다. 언어모델은 사용자의 입장에 동조하고 그 제안을 칭찬하는 경향을 체계적으로 보인다.</w:t>
      </w:r>
      <w:r>
        <w:rPr>
          <w:rStyle w:val="FootnoteReference"/>
        </w:rPr>
        <w:footnoteReference w:id="1"/>
      </w:r>
    </w:p>
    <w:p>
      <w:pPr>
        <w:spacing w:after="140" w:line="340"/>
        <w:jc w:val="both"/>
      </w:pPr>
      <w:r>
        <w:rPr>
          <w:rFonts w:ascii="맑은 고딕" w:cs="맑은 고딕" w:eastAsia="맑은 고딕" w:hAnsi="맑은 고딕"/>
          <w:sz w:val="20"/>
          <w:szCs w:val="20"/>
        </w:rPr>
        <w:t xml:space="preserve">칭찬하도록 길들여진 조수는 평가에 부적합하다. 이 사실은 사소해 보이지만 사소하지 않다. 아이디어를 앞에 두고 “훌륭합니다”라고 말하는 것과 그 아이디어의 가치를 저울에 다는 것은 반대 방향의 행위다. 더욱이 기계가 “이 정책은 7점”이라고 선언하는 순간, 주관성과 권위 의존과 설명 불가능성은 인간 심사관에서 기계 심사관으로 자리만 옮겨 앉는다. 문제의 형태는 그대로다.</w:t>
      </w:r>
    </w:p>
    <w:p>
      <w:pPr>
        <w:spacing w:after="140" w:line="340"/>
        <w:jc w:val="both"/>
      </w:pPr>
      <w:r>
        <w:rPr>
          <w:rFonts w:ascii="맑은 고딕" w:cs="맑은 고딕" w:eastAsia="맑은 고딕" w:hAnsi="맑은 고딕"/>
          <w:sz w:val="20"/>
          <w:szCs w:val="20"/>
        </w:rPr>
        <w:t xml:space="preserve">여기서 멈춰야 한다. 곤경이 심사관의 정체—인간이냐 기계냐—에 있지 않다면, 그것은 어디에 있는가. 나는 그것이 </w:t>
      </w:r>
      <w:r>
        <w:rPr>
          <w:rFonts w:ascii="맑은 고딕" w:cs="맑은 고딕" w:eastAsia="맑은 고딕" w:hAnsi="맑은 고딕"/>
          <w:b/>
          <w:bCs/>
          <w:sz w:val="20"/>
          <w:szCs w:val="20"/>
        </w:rPr>
        <w:t xml:space="preserve">질문의 방향</w:t>
      </w:r>
      <w:r>
        <w:rPr>
          <w:rFonts w:ascii="맑은 고딕" w:cs="맑은 고딕" w:eastAsia="맑은 고딕" w:hAnsi="맑은 고딕"/>
          <w:sz w:val="20"/>
          <w:szCs w:val="20"/>
        </w:rPr>
        <w:t xml:space="preserve">에 있다고 본다. “인공지능은 이 정책을 어떻게 평가하는가”라고 묻는 한, 우리는 판정하는 권위를 누구에게 줄 것인가를 다투게 된다. 질문을 뒤집어야 한다. “제안자는 인공지능의 물음 앞에서 이 정책의 가치를 어떻게 입증하는가.” 이 전환은 수사가 아니라, 2,400년 된 인식론과 현대 판단 연구가 함께 떠받치는 설계 원리다.</w:t>
      </w:r>
    </w:p>
    <w:p>
      <w:pPr>
        <w:pStyle w:val="Heading1"/>
        <w:spacing w:after="150" w:before="340"/>
      </w:pPr>
      <w:r>
        <w:rPr>
          <w:rFonts w:ascii="맑은 고딕" w:cs="맑은 고딕" w:eastAsia="맑은 고딕" w:hAnsi="맑은 고딕"/>
          <w:b/>
          <w:bCs/>
          <w:sz w:val="26"/>
          <w:szCs w:val="26"/>
        </w:rPr>
        <w:t xml:space="preserve">2. 방법</w:t>
      </w:r>
    </w:p>
    <w:p>
      <w:pPr>
        <w:spacing w:after="140" w:line="340"/>
        <w:jc w:val="both"/>
      </w:pPr>
      <w:r>
        <w:rPr>
          <w:rFonts w:ascii="맑은 고딕" w:cs="맑은 고딕" w:eastAsia="맑은 고딕" w:hAnsi="맑은 고딕"/>
          <w:sz w:val="20"/>
          <w:szCs w:val="20"/>
        </w:rPr>
        <w:t xml:space="preserve">질문자는 점수를 모른다. 이 한 문장이 방법 전체의 초석이다. 대화를 이끄는 인공지능은 채점 기준도, 진행 중인 점수도 알지 못한 채, 정해진 단계—명료화에서 독창성으로, 실용성으로, 수용태도로, 마지막 자기평가로—를 따라 질문만 던진다. 단계의 전이는 언어모델이 아니라 코드가 강제한다. 질문은 정의를 확인하고, 근거와 반례를 요구하며, 함의와 관점 전환을 유도한다. 제안자가 질문을 비껴가면 좁혀 다시 묻고, 그래도 답하지 않으면 선택지형 질문으로 몰아넣은 뒤 “미답변”으로 남긴다. 회피는 방치되지 않고 기록된다.</w:t>
      </w:r>
    </w:p>
    <w:p>
      <w:pPr>
        <w:spacing w:after="140" w:line="340"/>
        <w:jc w:val="both"/>
      </w:pPr>
      <w:r>
        <w:rPr>
          <w:rFonts w:ascii="맑은 고딕" w:cs="맑은 고딕" w:eastAsia="맑은 고딕" w:hAnsi="맑은 고딕"/>
          <w:sz w:val="20"/>
          <w:szCs w:val="20"/>
        </w:rPr>
        <w:t xml:space="preserve">채점은 다른 방에서 이루어진다. 채점자는 대화에 참여하지 않고 로그만 읽는다. 그리고 채점은 하나가 아니라 둘이다. 규정 심사위원은 기준마다 열 개의 이진 항목을 사실로 판정하되, 무엇을 충족으로 인정하려면 그 근거가 된 대화의 턴을 반드시 인용해야 한다. 인용이 없으면 그 항목은 자동으로 불충족이 된다. 종합 심사위원은 같은 로그를 읽고 점수 밴드에 따라 전체 인상을 매긴다. 두 점수의 평균이 그 기준의 최종 점수이고, 세 기준의 가중평균이 종합 점수다. 가중평균은 사람의 감이 아니라 코드가 계산한다.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gridSpan w:val="2"/>
            <w:shd w:fill="E7ECF2" w:val="clear"/>
            <w:tcMar>
              <w:top w:type="dxa" w:w="70"/>
              <w:left w:type="dxa" w:w="110"/>
              <w:bottom w:type="dxa" w:w="70"/>
              <w:right w:type="dxa" w:w="110"/>
            </w:tcMar>
          </w:tcPr>
          <w:p>
            <w:pPr>
              <w:spacing w:after="0" w:line="264"/>
              <w:jc w:val="center"/>
            </w:pPr>
            <w:r>
              <w:rPr>
                <w:rFonts w:ascii="맑은 고딕" w:cs="맑은 고딕" w:eastAsia="맑은 고딕" w:hAnsi="맑은 고딕"/>
                <w:b/>
                <w:bCs/>
                <w:sz w:val="20"/>
                <w:szCs w:val="20"/>
              </w:rPr>
              <w:t xml:space="preserve">제안자  ──(답변)──▶  질문자 AI  ◀──(단계 지시)──  상태 머신</w:t>
            </w:r>
          </w:p>
        </w:tc>
      </w:tr>
      <w:tr>
        <w:tc>
          <w:tcPr>
            <w:gridSpan w:val="2"/>
            <w:tcBorders>
              <w:top w:val="none" w:color="FFFFFF" w:sz="0"/>
              <w:left w:val="none" w:color="FFFFFF" w:sz="0"/>
              <w:bottom w:val="none" w:color="FFFFFF" w:sz="0"/>
              <w:right w:val="none" w:color="FFFFFF" w:sz="0"/>
            </w:tcBorders>
          </w:tcPr>
          <w:p>
            <w:pPr>
              <w:spacing w:after="20" w:before="20"/>
              <w:jc w:val="center"/>
            </w:pPr>
            <w:r>
              <w:rPr>
                <w:rFonts w:ascii="맑은 고딕" w:cs="맑은 고딕" w:eastAsia="맑은 고딕" w:hAnsi="맑은 고딕"/>
                <w:color w:val="888888"/>
                <w:sz w:val="20"/>
                <w:szCs w:val="20"/>
              </w:rPr>
              <w:t xml:space="preserve">▼ 대화 로그 — 질문자는 점수를 모른다</w:t>
            </w:r>
          </w:p>
        </w:tc>
      </w:tr>
      <w:tr>
        <w:tc>
          <w:tcPr>
            <w:tcW w:type="dxa" w:w="4600"/>
            <w:gridSpan w:val="1"/>
            <w:shd w:fill="FBFBF9" w:val="clear"/>
            <w:tcMar>
              <w:top w:type="dxa" w:w="70"/>
              <w:left w:type="dxa" w:w="110"/>
              <w:bottom w:type="dxa" w:w="70"/>
              <w:right w:type="dxa" w:w="110"/>
            </w:tcMar>
          </w:tcPr>
          <w:p>
            <w:pPr>
              <w:spacing w:after="20" w:line="264"/>
              <w:jc w:val="center"/>
            </w:pPr>
            <w:r>
              <w:rPr>
                <w:rFonts w:ascii="맑은 고딕" w:cs="맑은 고딕" w:eastAsia="맑은 고딕" w:hAnsi="맑은 고딕"/>
                <w:sz w:val="20"/>
                <w:szCs w:val="20"/>
              </w:rPr>
              <w:t xml:space="preserve">규정 심사위원</w:t>
            </w:r>
          </w:p>
          <w:p>
            <w:pPr>
              <w:spacing w:after="20" w:line="264"/>
              <w:jc w:val="center"/>
            </w:pPr>
            <w:r>
              <w:rPr>
                <w:rFonts w:ascii="맑은 고딕" w:cs="맑은 고딕" w:eastAsia="맑은 고딕" w:hAnsi="맑은 고딕"/>
                <w:sz w:val="20"/>
                <w:szCs w:val="20"/>
              </w:rPr>
              <w:t xml:space="preserve">기준별 10항목 충족/불충족</w:t>
            </w:r>
          </w:p>
          <w:p>
            <w:pPr>
              <w:spacing w:after="0" w:line="264"/>
              <w:jc w:val="center"/>
            </w:pPr>
            <w:r>
              <w:rPr>
                <w:rFonts w:ascii="맑은 고딕" w:cs="맑은 고딕" w:eastAsia="맑은 고딕" w:hAnsi="맑은 고딕"/>
                <w:sz w:val="20"/>
                <w:szCs w:val="20"/>
              </w:rPr>
              <w:t xml:space="preserve">충족 시 근거 턴 인용 필수</w:t>
            </w:r>
          </w:p>
        </w:tc>
        <w:tc>
          <w:tcPr>
            <w:tcW w:type="dxa" w:w="4600"/>
            <w:gridSpan w:val="1"/>
            <w:shd w:fill="FBFBF9" w:val="clear"/>
            <w:tcMar>
              <w:top w:type="dxa" w:w="70"/>
              <w:left w:type="dxa" w:w="110"/>
              <w:bottom w:type="dxa" w:w="70"/>
              <w:right w:type="dxa" w:w="110"/>
            </w:tcMar>
          </w:tcPr>
          <w:p>
            <w:pPr>
              <w:spacing w:after="20" w:line="264"/>
              <w:jc w:val="center"/>
            </w:pPr>
            <w:r>
              <w:rPr>
                <w:rFonts w:ascii="맑은 고딕" w:cs="맑은 고딕" w:eastAsia="맑은 고딕" w:hAnsi="맑은 고딕"/>
                <w:sz w:val="20"/>
                <w:szCs w:val="20"/>
              </w:rPr>
              <w:t xml:space="preserve">종합 심사위원</w:t>
            </w:r>
          </w:p>
          <w:p>
            <w:pPr>
              <w:spacing w:after="20" w:line="264"/>
              <w:jc w:val="center"/>
            </w:pPr>
            <w:r>
              <w:rPr>
                <w:rFonts w:ascii="맑은 고딕" w:cs="맑은 고딕" w:eastAsia="맑은 고딕" w:hAnsi="맑은 고딕"/>
                <w:sz w:val="20"/>
                <w:szCs w:val="20"/>
              </w:rPr>
              <w:t xml:space="preserve">점수 밴드 기반 전체 인상</w:t>
            </w:r>
          </w:p>
          <w:p>
            <w:pPr>
              <w:spacing w:after="0" w:line="264"/>
              <w:jc w:val="center"/>
            </w:pPr>
            <w:r>
              <w:rPr>
                <w:rFonts w:ascii="맑은 고딕" w:cs="맑은 고딕" w:eastAsia="맑은 고딕" w:hAnsi="맑은 고딕"/>
                <w:sz w:val="20"/>
                <w:szCs w:val="20"/>
              </w:rPr>
              <w:t xml:space="preserve">0–10점</w:t>
            </w:r>
          </w:p>
        </w:tc>
      </w:tr>
      <w:tr>
        <w:tc>
          <w:tcPr>
            <w:gridSpan w:val="2"/>
            <w:tcBorders>
              <w:top w:val="none" w:color="FFFFFF" w:sz="0"/>
              <w:left w:val="none" w:color="FFFFFF" w:sz="0"/>
              <w:bottom w:val="none" w:color="FFFFFF" w:sz="0"/>
              <w:right w:val="none" w:color="FFFFFF" w:sz="0"/>
            </w:tcBorders>
          </w:tcPr>
          <w:p>
            <w:pPr>
              <w:spacing w:after="20" w:before="20"/>
              <w:jc w:val="center"/>
            </w:pPr>
            <w:r>
              <w:rPr>
                <w:rFonts w:ascii="맑은 고딕" w:cs="맑은 고딕" w:eastAsia="맑은 고딕" w:hAnsi="맑은 고딕"/>
                <w:color w:val="888888"/>
                <w:sz w:val="20"/>
                <w:szCs w:val="20"/>
              </w:rPr>
              <w:t xml:space="preserve">▼ </w:t>
            </w:r>
          </w:p>
        </w:tc>
      </w:tr>
      <w:tr>
        <w:tc>
          <w:tcPr>
            <w:gridSpan w:val="2"/>
            <w:shd w:fill="FBFBF9" w:val="clear"/>
            <w:tcMar>
              <w:top w:type="dxa" w:w="70"/>
              <w:left w:type="dxa" w:w="110"/>
              <w:bottom w:type="dxa" w:w="70"/>
              <w:right w:type="dxa" w:w="110"/>
            </w:tcMar>
          </w:tcPr>
          <w:p>
            <w:pPr>
              <w:spacing w:after="0" w:line="264"/>
              <w:jc w:val="center"/>
            </w:pPr>
            <w:r>
              <w:rPr>
                <w:rFonts w:ascii="맑은 고딕" w:cs="맑은 고딕" w:eastAsia="맑은 고딕" w:hAnsi="맑은 고딕"/>
                <w:sz w:val="20"/>
                <w:szCs w:val="20"/>
              </w:rPr>
              <w:t xml:space="preserve">기준별 최종 = 두 판단의 평균  →  종합 = 가중평균(코드가 계산)</w:t>
            </w:r>
          </w:p>
        </w:tc>
      </w:tr>
      <w:tr>
        <w:tc>
          <w:tcPr>
            <w:gridSpan w:val="2"/>
            <w:tcBorders>
              <w:top w:val="none" w:color="FFFFFF" w:sz="0"/>
              <w:left w:val="none" w:color="FFFFFF" w:sz="0"/>
              <w:bottom w:val="none" w:color="FFFFFF" w:sz="0"/>
              <w:right w:val="none" w:color="FFFFFF" w:sz="0"/>
            </w:tcBorders>
          </w:tcPr>
          <w:p>
            <w:pPr>
              <w:spacing w:after="20" w:before="20"/>
              <w:jc w:val="center"/>
            </w:pPr>
            <w:r>
              <w:rPr>
                <w:rFonts w:ascii="맑은 고딕" w:cs="맑은 고딕" w:eastAsia="맑은 고딕" w:hAnsi="맑은 고딕"/>
                <w:color w:val="888888"/>
                <w:sz w:val="20"/>
                <w:szCs w:val="20"/>
              </w:rPr>
              <w:t xml:space="preserve">▼ </w:t>
            </w:r>
          </w:p>
        </w:tc>
      </w:tr>
      <w:tr>
        <w:tc>
          <w:tcPr>
            <w:gridSpan w:val="2"/>
            <w:shd w:fill="E7ECF2" w:val="clear"/>
            <w:tcMar>
              <w:top w:type="dxa" w:w="70"/>
              <w:left w:type="dxa" w:w="110"/>
              <w:bottom w:type="dxa" w:w="70"/>
              <w:right w:type="dxa" w:w="110"/>
            </w:tcMar>
          </w:tcPr>
          <w:p>
            <w:pPr>
              <w:spacing w:after="0" w:line="264"/>
              <w:jc w:val="center"/>
            </w:pPr>
            <w:r>
              <w:rPr>
                <w:rFonts w:ascii="맑은 고딕" w:cs="맑은 고딕" w:eastAsia="맑은 고딕" w:hAnsi="맑은 고딕"/>
                <w:b/>
                <w:bCs/>
                <w:sz w:val="20"/>
                <w:szCs w:val="20"/>
              </w:rPr>
              <w:t xml:space="preserve">설명 계층 — 불확실성 밴드 · 근거신뢰도(E0–E4) · 5문장 요약</w:t>
            </w:r>
          </w:p>
        </w:tc>
      </w:tr>
    </w:tbl>
    <w:p>
      <w:pPr>
        <w:spacing w:after="200" w:before="80"/>
        <w:jc w:val="center"/>
      </w:pPr>
      <w:r>
        <w:rPr>
          <w:rFonts w:ascii="맑은 고딕" w:cs="맑은 고딕" w:eastAsia="맑은 고딕" w:hAnsi="맑은 고딕"/>
          <w:i/>
          <w:iCs/>
          <w:color w:val="555555"/>
          <w:sz w:val="18"/>
          <w:szCs w:val="18"/>
        </w:rPr>
        <w:t xml:space="preserve">그림 1. 시스템 구조도 — 질문(역할 분리)과 채점(이원)의 분리, 그리고 설명 계층.</w:t>
      </w:r>
    </w:p>
    <w:p>
      <w:pPr>
        <w:spacing w:after="140" w:line="340"/>
        <w:jc w:val="both"/>
      </w:pPr>
      <w:r>
        <w:rPr>
          <w:rFonts w:ascii="맑은 고딕" w:cs="맑은 고딕" w:eastAsia="맑은 고딕" w:hAnsi="맑은 고딕"/>
          <w:sz w:val="20"/>
          <w:szCs w:val="20"/>
        </w:rPr>
        <w:t xml:space="preserve">산출물은 숫자 하나가 아니다. 두 심사위원의 판단이 갈린 폭은 그대로 불확실성의 밴드가 되고, 검증 가능한 근거 항목이 얼마나 충족되었는가는 근거 신뢰도의 등급이 되며, 이 모든 것이 현재가치·잠재가치·핵심위험·근거신뢰도·다음 검증행동의 다섯 문장으로 다시 묶인다. 이 설명 계층은 새로 채점하지 않는다. 이미 나온 결과를 코드가 재서술할 뿐이다. 그래서 설명은 공짜로 얻어진다.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gridSpan w:val="2"/>
            <w:shd w:fill="E7ECF2" w:val="clear"/>
            <w:tcMar>
              <w:top w:type="dxa" w:w="70"/>
              <w:left w:type="dxa" w:w="110"/>
              <w:bottom w:type="dxa" w:w="70"/>
              <w:right w:type="dxa" w:w="110"/>
            </w:tcMar>
          </w:tcPr>
          <w:p>
            <w:pPr>
              <w:spacing w:after="0" w:line="264"/>
              <w:jc w:val="center"/>
            </w:pPr>
            <w:r>
              <w:rPr>
                <w:rFonts w:ascii="맑은 고딕" w:cs="맑은 고딕" w:eastAsia="맑은 고딕" w:hAnsi="맑은 고딕"/>
                <w:b/>
                <w:bCs/>
                <w:sz w:val="20"/>
                <w:szCs w:val="20"/>
              </w:rPr>
              <w:t xml:space="preserve">대화 전문(로그) — 동일 입력을 두 심사위원에게 독립적으로 제시</w:t>
            </w:r>
          </w:p>
        </w:tc>
      </w:tr>
      <w:tr>
        <w:tc>
          <w:tcPr>
            <w:gridSpan w:val="2"/>
            <w:tcBorders>
              <w:top w:val="none" w:color="FFFFFF" w:sz="0"/>
              <w:left w:val="none" w:color="FFFFFF" w:sz="0"/>
              <w:bottom w:val="none" w:color="FFFFFF" w:sz="0"/>
              <w:right w:val="none" w:color="FFFFFF" w:sz="0"/>
            </w:tcBorders>
          </w:tcPr>
          <w:p>
            <w:pPr>
              <w:spacing w:after="20" w:before="20"/>
              <w:jc w:val="center"/>
            </w:pPr>
            <w:r>
              <w:rPr>
                <w:rFonts w:ascii="맑은 고딕" w:cs="맑은 고딕" w:eastAsia="맑은 고딕" w:hAnsi="맑은 고딕"/>
                <w:color w:val="888888"/>
                <w:sz w:val="20"/>
                <w:szCs w:val="20"/>
              </w:rPr>
              <w:t xml:space="preserve">▼ </w:t>
            </w:r>
          </w:p>
        </w:tc>
      </w:tr>
      <w:tr>
        <w:tc>
          <w:tcPr>
            <w:tcW w:type="dxa" w:w="4600"/>
            <w:gridSpan w:val="1"/>
            <w:shd w:fill="FBFBF9" w:val="clear"/>
            <w:tcMar>
              <w:top w:type="dxa" w:w="70"/>
              <w:left w:type="dxa" w:w="110"/>
              <w:bottom w:type="dxa" w:w="70"/>
              <w:right w:type="dxa" w:w="110"/>
            </w:tcMar>
          </w:tcPr>
          <w:p>
            <w:pPr>
              <w:spacing w:after="20" w:line="264"/>
              <w:jc w:val="center"/>
            </w:pPr>
            <w:r>
              <w:rPr>
                <w:rFonts w:ascii="맑은 고딕" w:cs="맑은 고딕" w:eastAsia="맑은 고딕" w:hAnsi="맑은 고딕"/>
                <w:sz w:val="20"/>
                <w:szCs w:val="20"/>
              </w:rPr>
              <w:t xml:space="preserve">규정 심사위원 (규칙)</w:t>
            </w:r>
          </w:p>
          <w:p>
            <w:pPr>
              <w:spacing w:after="20" w:line="264"/>
              <w:jc w:val="center"/>
            </w:pPr>
            <w:r>
              <w:rPr>
                <w:rFonts w:ascii="맑은 고딕" w:cs="맑은 고딕" w:eastAsia="맑은 고딕" w:hAnsi="맑은 고딕"/>
                <w:sz w:val="20"/>
                <w:szCs w:val="20"/>
              </w:rPr>
              <w:t xml:space="preserve">각 기준 10항목을 충족/불충족으로 판정</w:t>
            </w:r>
          </w:p>
          <w:p>
            <w:pPr>
              <w:spacing w:after="20" w:line="264"/>
              <w:jc w:val="center"/>
            </w:pPr>
            <w:r>
              <w:rPr>
                <w:rFonts w:ascii="맑은 고딕" w:cs="맑은 고딕" w:eastAsia="맑은 고딕" w:hAnsi="맑은 고딕"/>
                <w:sz w:val="20"/>
                <w:szCs w:val="20"/>
              </w:rPr>
              <w:t xml:space="preserve">충족 주장 시 ‘턴 N’ 인용 강제</w:t>
            </w:r>
          </w:p>
          <w:p>
            <w:pPr>
              <w:spacing w:after="20" w:line="264"/>
              <w:jc w:val="center"/>
            </w:pPr>
            <w:r>
              <w:rPr>
                <w:rFonts w:ascii="맑은 고딕" w:cs="맑은 고딕" w:eastAsia="맑은 고딕" w:hAnsi="맑은 고딕"/>
                <w:sz w:val="20"/>
                <w:szCs w:val="20"/>
              </w:rPr>
              <w:t xml:space="preserve">인용 없으면 자동 불충족</w:t>
            </w:r>
          </w:p>
          <w:p>
            <w:pPr>
              <w:spacing w:after="0" w:line="264"/>
              <w:jc w:val="center"/>
            </w:pPr>
            <w:r>
              <w:rPr>
                <w:rFonts w:ascii="맑은 고딕" w:cs="맑은 고딕" w:eastAsia="맑은 고딕" w:hAnsi="맑은 고딕"/>
                <w:sz w:val="20"/>
                <w:szCs w:val="20"/>
              </w:rPr>
              <w:t xml:space="preserve">⇒ 체크리스트 점수 0–10</w:t>
            </w:r>
          </w:p>
        </w:tc>
        <w:tc>
          <w:tcPr>
            <w:tcW w:type="dxa" w:w="4600"/>
            <w:gridSpan w:val="1"/>
            <w:shd w:fill="FBFBF9" w:val="clear"/>
            <w:tcMar>
              <w:top w:type="dxa" w:w="70"/>
              <w:left w:type="dxa" w:w="110"/>
              <w:bottom w:type="dxa" w:w="70"/>
              <w:right w:type="dxa" w:w="110"/>
            </w:tcMar>
          </w:tcPr>
          <w:p>
            <w:pPr>
              <w:spacing w:after="20" w:line="264"/>
              <w:jc w:val="center"/>
            </w:pPr>
            <w:r>
              <w:rPr>
                <w:rFonts w:ascii="맑은 고딕" w:cs="맑은 고딕" w:eastAsia="맑은 고딕" w:hAnsi="맑은 고딕"/>
                <w:sz w:val="20"/>
                <w:szCs w:val="20"/>
              </w:rPr>
              <w:t xml:space="preserve">종합 심사위원 (직관)</w:t>
            </w:r>
          </w:p>
          <w:p>
            <w:pPr>
              <w:spacing w:after="20" w:line="264"/>
              <w:jc w:val="center"/>
            </w:pPr>
            <w:r>
              <w:rPr>
                <w:rFonts w:ascii="맑은 고딕" w:cs="맑은 고딕" w:eastAsia="맑은 고딕" w:hAnsi="맑은 고딕"/>
                <w:sz w:val="20"/>
                <w:szCs w:val="20"/>
              </w:rPr>
              <w:t xml:space="preserve">점수 밴드에 따른 전체 인상 채점</w:t>
            </w:r>
          </w:p>
          <w:p>
            <w:pPr>
              <w:spacing w:after="20" w:line="264"/>
              <w:jc w:val="center"/>
            </w:pPr>
            <w:r>
              <w:rPr>
                <w:rFonts w:ascii="맑은 고딕" w:cs="맑은 고딕" w:eastAsia="맑은 고딕" w:hAnsi="맑은 고딕"/>
                <w:sz w:val="20"/>
                <w:szCs w:val="20"/>
              </w:rPr>
              <w:t xml:space="preserve">답변의 깊이·설득력을 종합</w:t>
            </w:r>
          </w:p>
          <w:p>
            <w:pPr>
              <w:spacing w:after="0" w:line="264"/>
              <w:jc w:val="center"/>
            </w:pPr>
            <w:r>
              <w:rPr>
                <w:rFonts w:ascii="맑은 고딕" w:cs="맑은 고딕" w:eastAsia="맑은 고딕" w:hAnsi="맑은 고딕"/>
                <w:sz w:val="20"/>
                <w:szCs w:val="20"/>
              </w:rPr>
              <w:t xml:space="preserve">⇒ 종합판단 점수 0–10</w:t>
            </w:r>
          </w:p>
        </w:tc>
      </w:tr>
      <w:tr>
        <w:tc>
          <w:tcPr>
            <w:gridSpan w:val="2"/>
            <w:tcBorders>
              <w:top w:val="none" w:color="FFFFFF" w:sz="0"/>
              <w:left w:val="none" w:color="FFFFFF" w:sz="0"/>
              <w:bottom w:val="none" w:color="FFFFFF" w:sz="0"/>
              <w:right w:val="none" w:color="FFFFFF" w:sz="0"/>
            </w:tcBorders>
          </w:tcPr>
          <w:p>
            <w:pPr>
              <w:spacing w:after="20" w:before="20"/>
              <w:jc w:val="center"/>
            </w:pPr>
            <w:r>
              <w:rPr>
                <w:rFonts w:ascii="맑은 고딕" w:cs="맑은 고딕" w:eastAsia="맑은 고딕" w:hAnsi="맑은 고딕"/>
                <w:color w:val="888888"/>
                <w:sz w:val="20"/>
                <w:szCs w:val="20"/>
              </w:rPr>
              <w:t xml:space="preserve">▼ </w:t>
            </w:r>
          </w:p>
        </w:tc>
      </w:tr>
      <w:tr>
        <w:tc>
          <w:tcPr>
            <w:gridSpan w:val="2"/>
            <w:shd w:fill="FBFBF9" w:val="clear"/>
            <w:tcMar>
              <w:top w:type="dxa" w:w="70"/>
              <w:left w:type="dxa" w:w="110"/>
              <w:bottom w:type="dxa" w:w="70"/>
              <w:right w:type="dxa" w:w="110"/>
            </w:tcMar>
          </w:tcPr>
          <w:p>
            <w:pPr>
              <w:spacing w:after="0" w:line="264"/>
              <w:jc w:val="center"/>
            </w:pPr>
            <w:r>
              <w:rPr>
                <w:rFonts w:ascii="맑은 고딕" w:cs="맑은 고딕" w:eastAsia="맑은 고딕" w:hAnsi="맑은 고딕"/>
                <w:sz w:val="20"/>
                <w:szCs w:val="20"/>
              </w:rPr>
              <w:t xml:space="preserve">기준별 최종점수 = (체크리스트 + 종합판단) ÷ 2</w:t>
            </w:r>
          </w:p>
        </w:tc>
      </w:tr>
      <w:tr>
        <w:tc>
          <w:tcPr>
            <w:gridSpan w:val="2"/>
            <w:shd w:fill="FBFBF9" w:val="clear"/>
            <w:tcMar>
              <w:top w:type="dxa" w:w="70"/>
              <w:left w:type="dxa" w:w="110"/>
              <w:bottom w:type="dxa" w:w="70"/>
              <w:right w:type="dxa" w:w="110"/>
            </w:tcMar>
          </w:tcPr>
          <w:p>
            <w:pPr>
              <w:spacing w:after="0" w:line="264"/>
              <w:jc w:val="center"/>
            </w:pPr>
            <w:r>
              <w:rPr>
                <w:rFonts w:ascii="맑은 고딕" w:cs="맑은 고딕" w:eastAsia="맑은 고딕" w:hAnsi="맑은 고딕"/>
                <w:sz w:val="20"/>
                <w:szCs w:val="20"/>
              </w:rPr>
              <w:t xml:space="preserve">두 점수의 괴리 |체크리스트 − 종합판단| ⇒ 불확실성 밴드</w:t>
            </w:r>
          </w:p>
        </w:tc>
      </w:tr>
      <w:tr>
        <w:tc>
          <w:tcPr>
            <w:gridSpan w:val="2"/>
            <w:shd w:fill="E7ECF2" w:val="clear"/>
            <w:tcMar>
              <w:top w:type="dxa" w:w="70"/>
              <w:left w:type="dxa" w:w="110"/>
              <w:bottom w:type="dxa" w:w="70"/>
              <w:right w:type="dxa" w:w="110"/>
            </w:tcMar>
          </w:tcPr>
          <w:p>
            <w:pPr>
              <w:spacing w:after="0" w:line="264"/>
              <w:jc w:val="center"/>
            </w:pPr>
            <w:r>
              <w:rPr>
                <w:rFonts w:ascii="맑은 고딕" w:cs="맑은 고딕" w:eastAsia="맑은 고딕" w:hAnsi="맑은 고딕"/>
                <w:b/>
                <w:bCs/>
                <w:sz w:val="20"/>
                <w:szCs w:val="20"/>
              </w:rPr>
              <w:t xml:space="preserve">독창성·실용성·수용태도의 가중평균 ⇒ 종합점수</w:t>
            </w:r>
          </w:p>
        </w:tc>
      </w:tr>
    </w:tbl>
    <w:p>
      <w:pPr>
        <w:spacing w:after="200" w:before="80"/>
        <w:jc w:val="center"/>
      </w:pPr>
      <w:r>
        <w:rPr>
          <w:rFonts w:ascii="맑은 고딕" w:cs="맑은 고딕" w:eastAsia="맑은 고딕" w:hAnsi="맑은 고딕"/>
          <w:i/>
          <w:iCs/>
          <w:color w:val="555555"/>
          <w:sz w:val="18"/>
          <w:szCs w:val="18"/>
        </w:rPr>
        <w:t xml:space="preserve">그림 2. 이원 채점 흐름 — 규칙과 직관의 독립 채점, 그 평균과 괴리.</w:t>
      </w:r>
    </w:p>
    <w:p>
      <w:pPr>
        <w:pStyle w:val="Heading1"/>
        <w:spacing w:after="150" w:before="340"/>
      </w:pPr>
      <w:r>
        <w:rPr>
          <w:rFonts w:ascii="맑은 고딕" w:cs="맑은 고딕" w:eastAsia="맑은 고딕" w:hAnsi="맑은 고딕"/>
          <w:b/>
          <w:bCs/>
          <w:sz w:val="26"/>
          <w:szCs w:val="26"/>
        </w:rPr>
        <w:t xml:space="preserve">3. 이론적 근거</w:t>
      </w:r>
    </w:p>
    <w:p>
      <w:pPr>
        <w:pStyle w:val="Heading2"/>
        <w:spacing w:after="100" w:before="220"/>
      </w:pPr>
      <w:r>
        <w:rPr>
          <w:rFonts w:ascii="맑은 고딕" w:cs="맑은 고딕" w:eastAsia="맑은 고딕" w:hAnsi="맑은 고딕"/>
          <w:b/>
          <w:bCs/>
          <w:sz w:val="22"/>
          <w:szCs w:val="22"/>
        </w:rPr>
        <w:t xml:space="preserve">3.1 문답: 자기입증의 인식론</w:t>
      </w:r>
    </w:p>
    <w:p>
      <w:pPr>
        <w:spacing w:after="140" w:line="340"/>
        <w:jc w:val="both"/>
      </w:pPr>
      <w:r>
        <w:rPr>
          <w:rFonts w:ascii="맑은 고딕" w:cs="맑은 고딕" w:eastAsia="맑은 고딕" w:hAnsi="맑은 고딕"/>
          <w:sz w:val="20"/>
          <w:szCs w:val="20"/>
        </w:rPr>
        <w:t xml:space="preserve">플라톤의 소크라테스는 아무것도 가르치지 않는다. 그는 묻고, 상대의 답에서 전제를 끌어내고, 그 전제들이 서로 부딪치게 한다. 논박(elenchus)의 목적은 상대를 이기는 것이 아니라, 검증을 통과하지 못한 신념을 상대 스스로 버리게 하는 데 있다. 산파술(maieutics)의 비유가 말하는 바도 같다—스스로 낳은 결론만이 낳은 자의 것이 된다.</w:t>
      </w:r>
    </w:p>
    <w:p>
      <w:pPr>
        <w:spacing w:after="140" w:line="340"/>
        <w:jc w:val="both"/>
      </w:pPr>
      <w:r>
        <w:rPr>
          <w:rFonts w:ascii="맑은 고딕" w:cs="맑은 고딕" w:eastAsia="맑은 고딕" w:hAnsi="맑은 고딕"/>
          <w:sz w:val="20"/>
          <w:szCs w:val="20"/>
        </w:rPr>
        <w:t xml:space="preserve">이 오래된 장면이 정책 평가에 주는 함의는 날카롭다. 평가자가 판단을 부과하면 그 판단은 끝내 평가자의 것으로 남는다. 제안자는 승복을 강요당할 뿐 스스로 납득하지 않는다. 그러나 제안자가 질문에 답하며 근거를 대면, 그 입증은 제안자 자신의 것이 된다. 앞의 방식은 승복을 요구하고, 뒤의 방식은 승복을 생성한다. 인공지능이 판단을 유보하고 질문에 머무는 것은 겸양의 몸짓이 아니라, 평가의 정당성을 제안자의 자기입증 위에 다시 세우려는 인식론적 선택이다.</w:t>
      </w:r>
    </w:p>
    <w:p>
      <w:pPr>
        <w:pStyle w:val="Heading2"/>
        <w:spacing w:after="100" w:before="220"/>
      </w:pPr>
      <w:r>
        <w:rPr>
          <w:rFonts w:ascii="맑은 고딕" w:cs="맑은 고딕" w:eastAsia="맑은 고딕" w:hAnsi="맑은 고딕"/>
          <w:b/>
          <w:bCs/>
          <w:sz w:val="22"/>
          <w:szCs w:val="22"/>
        </w:rPr>
        <w:t xml:space="preserve">3.2 왜 하나가 아니라 둘인가</w:t>
      </w:r>
    </w:p>
    <w:p>
      <w:pPr>
        <w:spacing w:after="140" w:line="340"/>
        <w:jc w:val="both"/>
      </w:pPr>
      <w:r>
        <w:rPr>
          <w:rFonts w:ascii="맑은 고딕" w:cs="맑은 고딕" w:eastAsia="맑은 고딕" w:hAnsi="맑은 고딕"/>
          <w:sz w:val="20"/>
          <w:szCs w:val="20"/>
        </w:rPr>
        <w:t xml:space="preserve">단일한 점수는 확신을 가장한다. 이원 채점의 근거는 판단의 심리학에 있다. 미일(Meehl)은 임상적 직관과 통계적 규칙을 견주어, 단순한 규칙 기반 절차가 전문가의 종합적 직관보다 자주 더 정확하고 무엇보다 더 일관됨을 보였고, 이 결론은 이후 반세기의 재검증을 견뎠다(Dawes, Faust, &amp; Meehl 1989).</w:t>
      </w:r>
      <w:r>
        <w:rPr>
          <w:rStyle w:val="FootnoteReference"/>
        </w:rPr>
        <w:footnoteReference w:id="2"/>
      </w:r>
    </w:p>
    <w:p>
      <w:pPr>
        <w:spacing w:after="140" w:line="340"/>
        <w:jc w:val="both"/>
      </w:pPr>
      <w:r>
        <w:rPr>
          <w:rFonts w:ascii="맑은 고딕" w:cs="맑은 고딕" w:eastAsia="맑은 고딕" w:hAnsi="맑은 고딕"/>
          <w:sz w:val="20"/>
          <w:szCs w:val="20"/>
        </w:rPr>
        <w:t xml:space="preserve">그러나 규칙만으로 잡히지 않는 것이 있다. 답변의 깊이, 논증의 설득력, 맥락이 요구하는 질(質)—이것들은 이진 항목의 체에 걸리지 않고 빠져나간다. 카너먼(Kahneman 2011)이 말한 빠른 직관과 느린 규칙적 추론의 상보성이 여기서 제도가 된다. 규정 심사위원은 무엇이 명시적으로 제시되었는가를 세고, 종합 심사위원은 그 답변이 얼마나 멀리까지 밀고 갔는가를 잡는다.</w:t>
      </w:r>
    </w:p>
    <w:p>
      <w:pPr>
        <w:spacing w:after="140" w:line="340"/>
        <w:jc w:val="both"/>
      </w:pPr>
      <w:r>
        <w:rPr>
          <w:rFonts w:ascii="맑은 고딕" w:cs="맑은 고딕" w:eastAsia="맑은 고딕" w:hAnsi="맑은 고딕"/>
          <w:sz w:val="20"/>
          <w:szCs w:val="20"/>
        </w:rPr>
        <w:t xml:space="preserve">결정적인 것은 두 판단이 갈리는 지점이다. 실제의 한 정책 심의에서, 어떤 제안은 체크리스트로는 아홉 항목을 충족하고도 종합 판단에서는 여섯 점에 그쳤다. 수치와 절차는 갖추었으나 논증이 당위에 머물렀기 때문이다. 이 세 점의 간극은 결함이 아니라 정보다. “형식은 있으나 실증이 없다”는 진단이 바로 그 간극에 적혀 있다. 본 방법은 이 간극을 숨기지 않고 불확실성의 폭으로 번역한다. 채점의 신뢰도를 산출물 바깥에 두지 않고 그 안에 새겨 넣는 것이다(Sadler 1989). 그리고 모든 충족에 턴 인용을 요구하는 규칙은, 근거 없는 판정이 애초에 성립하지 못하도록 절차의 문턱에 세워 둔 빗장이다.</w:t>
      </w:r>
    </w:p>
    <w:p>
      <w:pPr>
        <w:pStyle w:val="Heading2"/>
        <w:spacing w:after="100" w:before="220"/>
      </w:pPr>
      <w:r>
        <w:rPr>
          <w:rFonts w:ascii="맑은 고딕" w:cs="맑은 고딕" w:eastAsia="맑은 고딕" w:hAnsi="맑은 고딕"/>
          <w:b/>
          <w:bCs/>
          <w:sz w:val="22"/>
          <w:szCs w:val="22"/>
        </w:rPr>
        <w:t xml:space="preserve">3.3 기준은 어디에서 오는가</w:t>
      </w:r>
    </w:p>
    <w:p>
      <w:pPr>
        <w:spacing w:after="140" w:line="340"/>
        <w:jc w:val="both"/>
      </w:pPr>
      <w:r>
        <w:rPr>
          <w:rFonts w:ascii="맑은 고딕" w:cs="맑은 고딕" w:eastAsia="맑은 고딕" w:hAnsi="맑은 고딕"/>
          <w:sz w:val="20"/>
          <w:szCs w:val="20"/>
        </w:rPr>
        <w:t xml:space="preserve">평가 기준이 임의로 만들어지면, 그 평가는 외부의 검증을 견디지 못한다. 세 기준의 세부 항목은 각각 확립된 이론에서 끌어온다. 독창성은 새로움만으로 성립하지 않는다. 창의성 연구의 표준 정의는 그것을 새로움과 유용성의 결합으로 규정한다(Runco &amp; Jaeger 2012; Amabile 1996). 실용성의 항목은 실재하는가·이길 수 있는가·할 가치가 있는가를 묻는 전략적 틀(Day 2007)과, 최소실행제품으로 핵심 가정을 최소 비용에 시험하라는 린의 요구(Ries 2011)에서 나온다. 수용태도는 혁신확산이론의 다섯 속성(Rogers 2003)과 기술수용모형의 지각된 유용성·사용 용이성(Davis 1989)에 정박한다. 표 1은 이 정박 관계를 요약한다.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600"/>
      </w:tblGrid>
      <w:tr>
        <w:tc>
          <w:tcPr>
            <w:tcW w:type="dxa" w:w="3200"/>
            <w:shd w:fill="E7ECF2"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기준</w:t>
            </w:r>
          </w:p>
        </w:tc>
        <w:tc>
          <w:tcPr>
            <w:tcW w:type="dxa" w:w="3400"/>
            <w:shd w:fill="E7ECF2"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이론적 근거</w:t>
            </w:r>
          </w:p>
        </w:tc>
        <w:tc>
          <w:tcPr>
            <w:tcW w:type="dxa" w:w="2600"/>
            <w:shd w:fill="E7ECF2"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대표 채점 항목</w:t>
            </w:r>
          </w:p>
        </w:tc>
      </w:tr>
      <w:tr>
        <w:tc>
          <w:tcPr>
            <w:tcW w:type="dxa" w:w="3200"/>
            <w:shd w:fill="E7ECF2"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독창성</w:t>
            </w:r>
          </w:p>
        </w:tc>
        <w:tc>
          <w:tcPr>
            <w:tcW w:type="dxa" w:w="340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새로움+유용성의 결합 (Runco &amp; Jaeger 2012; Amabile 1996; Dean 외 2006)</w:t>
            </w:r>
          </w:p>
        </w:tc>
        <w:tc>
          <w:tcPr>
            <w:tcW w:type="dxa" w:w="260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검증 가능한 차별점, 새로움→가치 연결, 반례 정면 대응</w:t>
            </w:r>
          </w:p>
        </w:tc>
      </w:tr>
      <w:tr>
        <w:tc>
          <w:tcPr>
            <w:tcW w:type="dxa" w:w="3200"/>
            <w:shd w:fill="E7ECF2"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실용성</w:t>
            </w:r>
          </w:p>
        </w:tc>
        <w:tc>
          <w:tcPr>
            <w:tcW w:type="dxa" w:w="340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Real-Win-Worth (Day 2007); 린 MVP (Ries 2011); TELOS 실행가능성</w:t>
            </w:r>
          </w:p>
        </w:tc>
        <w:tc>
          <w:tcPr>
            <w:tcW w:type="dxa" w:w="260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자원 수치화, MVP 한정, 장애물 식별·대응, 비용 대 효과</w:t>
            </w:r>
          </w:p>
        </w:tc>
      </w:tr>
      <w:tr>
        <w:tc>
          <w:tcPr>
            <w:tcW w:type="dxa" w:w="3200"/>
            <w:shd w:fill="E7ECF2"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수용태도</w:t>
            </w:r>
          </w:p>
        </w:tc>
        <w:tc>
          <w:tcPr>
            <w:tcW w:type="dxa" w:w="340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혁신확산 5속성 (Rogers 2003); 기술수용모형 (Davis 1989); 반증가능성 (Popper 1959)</w:t>
            </w:r>
          </w:p>
        </w:tc>
        <w:tc>
          <w:tcPr>
            <w:tcW w:type="dxa" w:w="260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상대적 이점, 전환 비용, 시험 가능성, 판단 갱신 조건</w:t>
            </w:r>
          </w:p>
        </w:tc>
      </w:tr>
    </w:tbl>
    <w:p>
      <w:pPr>
        <w:spacing w:after="200" w:before="80"/>
        <w:jc w:val="center"/>
      </w:pPr>
      <w:r>
        <w:rPr>
          <w:rFonts w:ascii="맑은 고딕" w:cs="맑은 고딕" w:eastAsia="맑은 고딕" w:hAnsi="맑은 고딕"/>
          <w:i/>
          <w:iCs/>
          <w:color w:val="555555"/>
          <w:sz w:val="18"/>
          <w:szCs w:val="18"/>
        </w:rPr>
        <w:t xml:space="preserve">표 1. 세 평가 기준의 이론적 정박과 대표 채점 항목.</w:t>
      </w:r>
    </w:p>
    <w:p>
      <w:pPr>
        <w:pStyle w:val="Heading2"/>
        <w:spacing w:after="100" w:before="220"/>
      </w:pPr>
      <w:r>
        <w:rPr>
          <w:rFonts w:ascii="맑은 고딕" w:cs="맑은 고딕" w:eastAsia="맑은 고딕" w:hAnsi="맑은 고딕"/>
          <w:b/>
          <w:bCs/>
          <w:sz w:val="22"/>
          <w:szCs w:val="22"/>
        </w:rPr>
        <w:t xml:space="preserve">3.4 반증가능성: 정책 평가의 심장</w:t>
      </w:r>
    </w:p>
    <w:p>
      <w:pPr>
        <w:spacing w:after="140" w:line="340"/>
        <w:jc w:val="both"/>
      </w:pPr>
      <w:r>
        <w:rPr>
          <w:rFonts w:ascii="맑은 고딕" w:cs="맑은 고딕" w:eastAsia="맑은 고딕" w:hAnsi="맑은 고딕"/>
          <w:sz w:val="20"/>
          <w:szCs w:val="20"/>
        </w:rPr>
        <w:t xml:space="preserve">정책은 좋아 보이기 쉽다. 바로 그 때문에 위험하다. 본 방법의 정책판은 수용태도의 한 항목을 판단 갱신의 조건을 묻는 물음으로 바꾼다. 어떤 지표가, 어떤 수치가, 어느 기간 안에 관측되면 이 정책을 수정하거나 접겠는가—그 반증의 기준을 말한 대화의 턴을 인용해야만 충족으로 인정한다. 근거는 포퍼(Popper 1959)에 있다. 검증 가능한 주장은 자신이 틀릴 조건을 명시할 수 있어야 하고, 그럴 수 없는 주장은 과학의 자격을 얻지 못한다.</w:t>
      </w:r>
      <w:r>
        <w:rPr>
          <w:rStyle w:val="FootnoteReference"/>
        </w:rPr>
        <w:footnoteReference w:id="3"/>
      </w:r>
    </w:p>
    <w:p>
      <w:pPr>
        <w:spacing w:after="140" w:line="340"/>
        <w:jc w:val="both"/>
      </w:pPr>
      <w:r>
        <w:rPr>
          <w:rFonts w:ascii="맑은 고딕" w:cs="맑은 고딕" w:eastAsia="맑은 고딕" w:hAnsi="맑은 고딕"/>
          <w:sz w:val="20"/>
          <w:szCs w:val="20"/>
        </w:rPr>
        <w:t xml:space="preserve">실제 심의에서 이 항목은 미세하지만 결정적인 구별을 수행했다. “환류가 없으면 이 정책은 기존 보조금과 다르지 않다”는 제안자의 인정은 정직하다. 그러나 그것은 위험을 인정한 것이지, 판단을 갱신할 기준을 제시한 것이 아니다. “매출이 2년 안에 목표의 몇 퍼센트에 미달하면 중단한다”와 “위험이 있음을 안다”는 다른 층위에 있다. 채점은 전자만을 충족으로 셌다. 위험의 인정과 반증 기준의 명시를 가르는 포퍼적 구별이, 하나의 이진 항목 안에서 작동한 것이다.</w:t>
      </w:r>
    </w:p>
    <w:p>
      <w:pPr>
        <w:pStyle w:val="Heading1"/>
        <w:spacing w:after="150" w:before="340"/>
      </w:pPr>
      <w:r>
        <w:rPr>
          <w:rFonts w:ascii="맑은 고딕" w:cs="맑은 고딕" w:eastAsia="맑은 고딕" w:hAnsi="맑은 고딕"/>
          <w:b/>
          <w:bCs/>
          <w:sz w:val="26"/>
          <w:szCs w:val="26"/>
        </w:rPr>
        <w:t xml:space="preserve">4. 혁신성</w:t>
      </w:r>
    </w:p>
    <w:p>
      <w:pPr>
        <w:spacing w:after="140" w:line="340"/>
        <w:jc w:val="both"/>
      </w:pPr>
      <w:r>
        <w:rPr>
          <w:rFonts w:ascii="맑은 고딕" w:cs="맑은 고딕" w:eastAsia="맑은 고딕" w:hAnsi="맑은 고딕"/>
          <w:sz w:val="20"/>
          <w:szCs w:val="20"/>
        </w:rPr>
        <w:t xml:space="preserve">아첨은 프롬프트로 다스려지지 않는다. 언어모델의 동조 경향은 개별 지시문으로 억누르기 어렵다(Sharma et al. 2023). 본 방법이 이를 다루는 방식은 지시가 아니라 구조다. 질문자는 점수를 모르므로 아첨할 대상이 없고, 채점자는 대화 밖에 있으므로 관계의 압력에서 자유롭다. 역할의 분리 자체가 아첨을 무력화한다. 앞서 “질문자는 점수를 모른다”고 한 문장은, 여기서 그 뜻이 조금 달라진다—그것은 진행상의 사실이면서 동시에 아첨을 차단하는 방벽의 이름이다.</w:t>
      </w:r>
    </w:p>
    <w:p>
      <w:pPr>
        <w:spacing w:after="140" w:line="340"/>
        <w:jc w:val="both"/>
      </w:pPr>
      <w:r>
        <w:rPr>
          <w:rFonts w:ascii="맑은 고딕" w:cs="맑은 고딕" w:eastAsia="맑은 고딕" w:hAnsi="맑은 고딕"/>
          <w:sz w:val="20"/>
          <w:szCs w:val="20"/>
        </w:rPr>
        <w:t xml:space="preserve">조작에 대한 내성도 같은 구조에서 나온다. 장황하되 공허한 답변으로 심사자를 현혹하려는 시도 앞에서, 이원 채점은 두 겹의 방벽을 세운다. 체크리스트는 근거 턴의 인용을 요구하므로 공허한 수사를 충족으로 세지 않고, 종합 판단은 분량이 아니라 깊이를 보므로 길이에 속지 않는다. 통제된 시뮬레이션에서 진부한 제안과 창의적 제안의 점수는 겹침 없이 갈렸고, 길지만 빈 답변은 낮은 자리에 떨어졌다.</w:t>
      </w:r>
    </w:p>
    <w:p>
      <w:pPr>
        <w:spacing w:after="140" w:line="340"/>
        <w:jc w:val="both"/>
      </w:pPr>
      <w:r>
        <w:rPr>
          <w:rFonts w:ascii="맑은 고딕" w:cs="맑은 고딕" w:eastAsia="맑은 고딕" w:hAnsi="맑은 고딕"/>
          <w:sz w:val="20"/>
          <w:szCs w:val="20"/>
        </w:rPr>
        <w:t xml:space="preserve">그리고 설명은 사후에 덧붙는 해석이 아니라 설계 안에 있다. 각 하위 점수의 근거 턴, 두 심사위원의 괴리로 계산한 밴드, 근거 신뢰도의 등급, 다섯 문장의 요약—평가의 모든 단계가 추적 가능하다. 설명가능한 인공지능이 흔히 사후 해석의 문제로 다뤄지는 것과 달리, 여기서 설명가능성은 채점 절차의 형식 자체다.</w:t>
      </w:r>
    </w:p>
    <w:p>
      <w:pPr>
        <w:pStyle w:val="Heading1"/>
        <w:spacing w:after="150" w:before="340"/>
      </w:pPr>
      <w:r>
        <w:rPr>
          <w:rFonts w:ascii="맑은 고딕" w:cs="맑은 고딕" w:eastAsia="맑은 고딕" w:hAnsi="맑은 고딕"/>
          <w:b/>
          <w:bCs/>
          <w:sz w:val="26"/>
          <w:szCs w:val="26"/>
        </w:rPr>
        <w:t xml:space="preserve">5. 실용성</w:t>
      </w:r>
    </w:p>
    <w:p>
      <w:pPr>
        <w:spacing w:after="140" w:line="340"/>
        <w:jc w:val="both"/>
      </w:pPr>
      <w:r>
        <w:rPr>
          <w:rFonts w:ascii="맑은 고딕" w:cs="맑은 고딕" w:eastAsia="맑은 고딕" w:hAnsi="맑은 고딕"/>
          <w:sz w:val="20"/>
          <w:szCs w:val="20"/>
        </w:rPr>
        <w:t xml:space="preserve">같은 대화는 같은 점수를 받는다. 동일한 전문을 반복해 채점했을 때 점수의 변동폭은 영이었다. 이 완전한 재현성은 절차적 공정성의 최소 조건을 충족한다—동일한 제출물이 다른 대접을 받는 일은 일어나지 않는다. 물론 재현성은 정확성이 아니다. 이 구별은 7장에서 다시 붙든다.</w:t>
      </w:r>
    </w:p>
    <w:p>
      <w:pPr>
        <w:spacing w:after="140" w:line="340"/>
        <w:jc w:val="both"/>
      </w:pPr>
      <w:r>
        <w:rPr>
          <w:rFonts w:ascii="맑은 고딕" w:cs="맑은 고딕" w:eastAsia="맑은 고딕" w:hAnsi="맑은 고딕"/>
          <w:sz w:val="20"/>
          <w:szCs w:val="20"/>
        </w:rPr>
        <w:t xml:space="preserve">설명 계층이 추가 비용을 요구하지 않는다는 점도 실용의 문제다. 밴드도, 근거 신뢰도도, 다섯 문장도 새로운 모델 호출 없이 이미 산출된 결과를 코드가 재조립해 만든다. 나아가 이 시스템은 구독형 인터페이스만으로 개인용 컴퓨터에서 구동되며, 임시 터널을 통해 소수 참여자에게 즉시 열린다. 접속 코드와 사용 상한이 그 개방을 지킨다. 새로운 평가 프로필—일반 아이디어용과 정책용—은 기존 채점 경로를 훼손하지 않고 나란히 선다. 기본값이 곧 원본을 보장하므로, 개선하려는 힘과 지키려는 힘이 충돌하지 않는다.</w:t>
      </w:r>
    </w:p>
    <w:p>
      <w:pPr>
        <w:pStyle w:val="Heading1"/>
        <w:spacing w:after="150" w:before="340"/>
      </w:pPr>
      <w:r>
        <w:rPr>
          <w:rFonts w:ascii="맑은 고딕" w:cs="맑은 고딕" w:eastAsia="맑은 고딕" w:hAnsi="맑은 고딕"/>
          <w:b/>
          <w:bCs/>
          <w:sz w:val="26"/>
          <w:szCs w:val="26"/>
        </w:rPr>
        <w:t xml:space="preserve">6. 미래대비성</w:t>
      </w:r>
    </w:p>
    <w:p>
      <w:pPr>
        <w:spacing w:after="140" w:line="340"/>
        <w:jc w:val="both"/>
      </w:pPr>
      <w:r>
        <w:rPr>
          <w:rFonts w:ascii="맑은 고딕" w:cs="맑은 고딕" w:eastAsia="맑은 고딕" w:hAnsi="맑은 고딕"/>
          <w:sz w:val="20"/>
          <w:szCs w:val="20"/>
        </w:rPr>
        <w:t xml:space="preserve">숙의는 비싸다. 피시킨(Fishkin 2009)이 보인 대로, 시민이 정보와 토론을 거쳐 정제된 선호에 이를 때 민주주의의 질은 높아진다. 그러나 그 숙의는 규모를 키우기 어렵다. 사람이 사람을 붙들고 오래 물어야 하기 때문이다. 본 방법은 그 일대일 소크라테스적 심의를 자동화한다. 수백, 수천의 시민이 각자의 정책 아이디어를 문답으로 벼리고 근거 위에서 평가받는 일이, 원리상 가능해진다. 정책 크라우드소싱의 오랜 병목—양은 늘려도 질을 담보하지 못한다는—이 이 지점에서 풀린다.</w:t>
      </w:r>
    </w:p>
    <w:p>
      <w:pPr>
        <w:spacing w:after="140" w:line="340"/>
        <w:jc w:val="both"/>
      </w:pPr>
      <w:r>
        <w:rPr>
          <w:rFonts w:ascii="맑은 고딕" w:cs="맑은 고딕" w:eastAsia="맑은 고딕" w:hAnsi="맑은 고딕"/>
          <w:sz w:val="20"/>
          <w:szCs w:val="20"/>
        </w:rPr>
        <w:t xml:space="preserve">더 넓게 보면, 이것은 인공지능을 의사결정에 쓰되 판단의 권한은 넘기지 않는 하나의 통치 모형이다. “인간이 고리 안에 있다”는 표어를 넘어, 인공지능이 묻고 인간이 입증한다는 역할의 재분배. 자동화가 인간의 판단을 대체하는 대신 연마하는 방향이 여기에 있다. 그리고 “무엇이 나오면 생각을 바꾸겠는가”를 점수의 항목으로 요구하는 일은, 확증과 진영으로 굳어가는 공론장에 반증가능성을 규범으로 되돌리는 작은 조치다. 나는 이것을 인식론적 공중보건이라 부르고 싶다.</w:t>
      </w:r>
    </w:p>
    <w:p>
      <w:pPr>
        <w:pStyle w:val="Heading1"/>
        <w:spacing w:after="150" w:before="340"/>
      </w:pPr>
      <w:r>
        <w:rPr>
          <w:rFonts w:ascii="맑은 고딕" w:cs="맑은 고딕" w:eastAsia="맑은 고딕" w:hAnsi="맑은 고딕"/>
          <w:b/>
          <w:bCs/>
          <w:sz w:val="26"/>
          <w:szCs w:val="26"/>
        </w:rPr>
        <w:t xml:space="preserve">7. 한계</w:t>
      </w:r>
    </w:p>
    <w:p>
      <w:pPr>
        <w:spacing w:after="140" w:line="340"/>
        <w:jc w:val="both"/>
      </w:pPr>
      <w:r>
        <w:rPr>
          <w:rFonts w:ascii="맑은 고딕" w:cs="맑은 고딕" w:eastAsia="맑은 고딕" w:hAnsi="맑은 고딕"/>
          <w:sz w:val="20"/>
          <w:szCs w:val="20"/>
        </w:rPr>
        <w:t xml:space="preserve">이 방법이 아직 보이지 못한 것을 정직하게 적어야 한다. 채점이 내부적으로 일관되고 근거에 정박한다는 사실은, 그 판단이 숙련된 인간 심사위원의 판단과 일치한다는 것을 뜻하지 않는다. 둘은 다른 문제이고, 그 일치는 블라인드 교차검증으로만 확인된다. 반복 채점의 완전한 재현성도 조심해서 읽어야 한다. 그것은 절차의 공정함을 증언할 뿐, 채점의 정확함이나 표현 변화에 대한 강건함을 보증하지 않는다. 의미를 보존한 채 문장만 바꾸었을 때 점수가 흔들리지 않는지—표현 불변성—는 별도로 측정되어야 한다. 질문자와 채점자 지침의 미세한 변화에 결과가 얼마나 민감한지, 그리고 특정 언어와 문화의 맥락에서 이 기준들이 여전히 타당한지도 아직 열린 물음이다.</w:t>
      </w:r>
    </w:p>
    <w:p>
      <w:pPr>
        <w:spacing w:after="140" w:line="340"/>
        <w:jc w:val="both"/>
      </w:pPr>
      <w:r>
        <w:rPr>
          <w:rFonts w:ascii="맑은 고딕" w:cs="맑은 고딕" w:eastAsia="맑은 고딕" w:hAnsi="맑은 고딕"/>
          <w:sz w:val="20"/>
          <w:szCs w:val="20"/>
        </w:rPr>
        <w:t xml:space="preserve">그러나 이 목록은 방법의 결함이라기보다 그것이 감당해야 할 검증의 지도다. 그리고 본 방법은 그 검증을 수행할 도구—반복 채점, 표현 불변성 시험, 인간 블라인드 채점—를 스스로 함께 제공한다. 한계를 아는 것과 한계를 잴 도구를 쥐는 것은 다르다.</w:t>
      </w:r>
    </w:p>
    <w:p>
      <w:pPr>
        <w:pStyle w:val="Heading1"/>
        <w:spacing w:after="150" w:before="340"/>
      </w:pPr>
      <w:r>
        <w:rPr>
          <w:rFonts w:ascii="맑은 고딕" w:cs="맑은 고딕" w:eastAsia="맑은 고딕" w:hAnsi="맑은 고딕"/>
          <w:b/>
          <w:bCs/>
          <w:sz w:val="26"/>
          <w:szCs w:val="26"/>
        </w:rPr>
        <w:t xml:space="preserve">8. 결론</w:t>
      </w:r>
    </w:p>
    <w:p>
      <w:pPr>
        <w:spacing w:after="140" w:line="340"/>
        <w:jc w:val="both"/>
      </w:pPr>
      <w:r>
        <w:rPr>
          <w:rFonts w:ascii="맑은 고딕" w:cs="맑은 고딕" w:eastAsia="맑은 고딕" w:hAnsi="맑은 고딕"/>
          <w:sz w:val="20"/>
          <w:szCs w:val="20"/>
        </w:rPr>
        <w:t xml:space="preserve">정책 아이디어를 평가하는 일에서 인공지능을 판정자의 자리에서 질문자의 자리로 옮기는 것—이 작은 이동이 이 연구의 전부이자 핵심이다. 그 이동은 소크라테스의 문답과 판단의 심리학, 창의성과 수용과 확산의 이론, 그리고 반증가능성의 인식론 위에 서 있다. 아첨을 구조로 피하고 불확실성을 산출물에 새기는 데 그 혁신이 있고, 재현되고 무비용으로 설명되며 즉시 열린다는 데 그 실용이 있으며, 숙의를 확장하고 반증을 규범으로 되돌린다는 데 그 미래가 있다.</w:t>
      </w:r>
    </w:p>
    <w:p>
      <w:pPr>
        <w:spacing w:after="140" w:line="340"/>
        <w:jc w:val="both"/>
      </w:pPr>
      <w:r>
        <w:rPr>
          <w:rFonts w:ascii="맑은 고딕" w:cs="맑은 고딕" w:eastAsia="맑은 고딕" w:hAnsi="맑은 고딕"/>
          <w:sz w:val="20"/>
          <w:szCs w:val="20"/>
        </w:rPr>
        <w:t xml:space="preserve">하나의 명제로 압축된다. </w:t>
      </w:r>
      <w:r>
        <w:rPr>
          <w:rFonts w:ascii="맑은 고딕" w:cs="맑은 고딕" w:eastAsia="맑은 고딕" w:hAnsi="맑은 고딕"/>
          <w:b/>
          <w:bCs/>
          <w:sz w:val="20"/>
          <w:szCs w:val="20"/>
        </w:rPr>
        <w:t xml:space="preserve">평가의 정당성은 판정하는 권위가 아니라 입증하는 문답에서 나온다.</w:t>
      </w:r>
      <w:r>
        <w:rPr>
          <w:rFonts w:ascii="맑은 고딕" w:cs="맑은 고딕" w:eastAsia="맑은 고딕" w:hAnsi="맑은 고딕"/>
          <w:sz w:val="20"/>
          <w:szCs w:val="20"/>
        </w:rPr>
        <w:t xml:space="preserve"> 인공지능은 판단을 부과하는 대신 묻고, 인간은 그 물음 앞에서 자신의 아이디어를 입증한다. 기계가 강해질수록 인간의 판단을 대체하지 않고 벼리는 길이 있다면, 그것은 아마 이 방향으로 나 있을 것이다.</w:t>
      </w:r>
    </w:p>
    <w:p>
      <w:r>
        <w:br w:type="page"/>
      </w:r>
    </w:p>
    <w:p>
      <w:pPr>
        <w:pStyle w:val="Heading1"/>
        <w:spacing w:after="150" w:before="340"/>
      </w:pPr>
      <w:r>
        <w:rPr>
          <w:rFonts w:ascii="맑은 고딕" w:cs="맑은 고딕" w:eastAsia="맑은 고딕" w:hAnsi="맑은 고딕"/>
          <w:b/>
          <w:bCs/>
          <w:sz w:val="26"/>
          <w:szCs w:val="26"/>
        </w:rPr>
        <w:t xml:space="preserve">참고문헌</w:t>
      </w:r>
    </w:p>
    <w:p>
      <w:pPr>
        <w:pStyle w:val="ListParagraph"/>
        <w:numPr>
          <w:ilvl w:val="0"/>
          <w:numId w:val="2"/>
        </w:numPr>
        <w:spacing w:after="70" w:line="300"/>
      </w:pPr>
      <w:r>
        <w:rPr>
          <w:rFonts w:ascii="맑은 고딕" w:cs="맑은 고딕" w:eastAsia="맑은 고딕" w:hAnsi="맑은 고딕"/>
          <w:sz w:val="20"/>
          <w:szCs w:val="20"/>
        </w:rPr>
        <w:t xml:space="preserve">Amabile, T. M. (1996). </w:t>
      </w:r>
      <w:r>
        <w:rPr>
          <w:rFonts w:ascii="맑은 고딕" w:cs="맑은 고딕" w:eastAsia="맑은 고딕" w:hAnsi="맑은 고딕"/>
          <w:i/>
          <w:iCs/>
          <w:sz w:val="20"/>
          <w:szCs w:val="20"/>
        </w:rPr>
        <w:t xml:space="preserve">Creativity in Context.</w:t>
      </w:r>
      <w:r>
        <w:rPr>
          <w:rFonts w:ascii="맑은 고딕" w:cs="맑은 고딕" w:eastAsia="맑은 고딕" w:hAnsi="맑은 고딕"/>
          <w:sz w:val="20"/>
          <w:szCs w:val="20"/>
        </w:rPr>
        <w:t xml:space="preserve"> Westview Press.</w:t>
      </w:r>
    </w:p>
    <w:p>
      <w:pPr>
        <w:pStyle w:val="ListParagraph"/>
        <w:numPr>
          <w:ilvl w:val="0"/>
          <w:numId w:val="2"/>
        </w:numPr>
        <w:spacing w:after="70" w:line="300"/>
      </w:pPr>
      <w:r>
        <w:rPr>
          <w:rFonts w:ascii="맑은 고딕" w:cs="맑은 고딕" w:eastAsia="맑은 고딕" w:hAnsi="맑은 고딕"/>
          <w:sz w:val="20"/>
          <w:szCs w:val="20"/>
        </w:rPr>
        <w:t xml:space="preserve">Davis, F. D. (1989). Perceived usefulness, perceived ease of use, and user acceptance of information technology. </w:t>
      </w:r>
      <w:r>
        <w:rPr>
          <w:rFonts w:ascii="맑은 고딕" w:cs="맑은 고딕" w:eastAsia="맑은 고딕" w:hAnsi="맑은 고딕"/>
          <w:i/>
          <w:iCs/>
          <w:sz w:val="20"/>
          <w:szCs w:val="20"/>
        </w:rPr>
        <w:t xml:space="preserve">MIS Quarterly, 13</w:t>
      </w:r>
      <w:r>
        <w:rPr>
          <w:rFonts w:ascii="맑은 고딕" w:cs="맑은 고딕" w:eastAsia="맑은 고딕" w:hAnsi="맑은 고딕"/>
          <w:sz w:val="20"/>
          <w:szCs w:val="20"/>
        </w:rPr>
        <w:t xml:space="preserve">(3), 319–340.</w:t>
      </w:r>
    </w:p>
    <w:p>
      <w:pPr>
        <w:pStyle w:val="ListParagraph"/>
        <w:numPr>
          <w:ilvl w:val="0"/>
          <w:numId w:val="2"/>
        </w:numPr>
        <w:spacing w:after="70" w:line="300"/>
      </w:pPr>
      <w:r>
        <w:rPr>
          <w:rFonts w:ascii="맑은 고딕" w:cs="맑은 고딕" w:eastAsia="맑은 고딕" w:hAnsi="맑은 고딕"/>
          <w:sz w:val="20"/>
          <w:szCs w:val="20"/>
        </w:rPr>
        <w:t xml:space="preserve">Dawes, R. M., Faust, D., &amp; Meehl, P. E. (1989). Clinical versus actuarial judgment. </w:t>
      </w:r>
      <w:r>
        <w:rPr>
          <w:rFonts w:ascii="맑은 고딕" w:cs="맑은 고딕" w:eastAsia="맑은 고딕" w:hAnsi="맑은 고딕"/>
          <w:i/>
          <w:iCs/>
          <w:sz w:val="20"/>
          <w:szCs w:val="20"/>
        </w:rPr>
        <w:t xml:space="preserve">Science, 243</w:t>
      </w:r>
      <w:r>
        <w:rPr>
          <w:rFonts w:ascii="맑은 고딕" w:cs="맑은 고딕" w:eastAsia="맑은 고딕" w:hAnsi="맑은 고딕"/>
          <w:sz w:val="20"/>
          <w:szCs w:val="20"/>
        </w:rPr>
        <w:t xml:space="preserve">(4899), 1668–1674.</w:t>
      </w:r>
    </w:p>
    <w:p>
      <w:pPr>
        <w:pStyle w:val="ListParagraph"/>
        <w:numPr>
          <w:ilvl w:val="0"/>
          <w:numId w:val="2"/>
        </w:numPr>
        <w:spacing w:after="70" w:line="300"/>
      </w:pPr>
      <w:r>
        <w:rPr>
          <w:rFonts w:ascii="맑은 고딕" w:cs="맑은 고딕" w:eastAsia="맑은 고딕" w:hAnsi="맑은 고딕"/>
          <w:sz w:val="20"/>
          <w:szCs w:val="20"/>
        </w:rPr>
        <w:t xml:space="preserve">Day, G. S. (2007). Is it real? Can we win? Is it worth doing? </w:t>
      </w:r>
      <w:r>
        <w:rPr>
          <w:rFonts w:ascii="맑은 고딕" w:cs="맑은 고딕" w:eastAsia="맑은 고딕" w:hAnsi="맑은 고딕"/>
          <w:i/>
          <w:iCs/>
          <w:sz w:val="20"/>
          <w:szCs w:val="20"/>
        </w:rPr>
        <w:t xml:space="preserve">Harvard Business Review, 85</w:t>
      </w:r>
      <w:r>
        <w:rPr>
          <w:rFonts w:ascii="맑은 고딕" w:cs="맑은 고딕" w:eastAsia="맑은 고딕" w:hAnsi="맑은 고딕"/>
          <w:sz w:val="20"/>
          <w:szCs w:val="20"/>
        </w:rPr>
        <w:t xml:space="preserve">(12).</w:t>
      </w:r>
    </w:p>
    <w:p>
      <w:pPr>
        <w:pStyle w:val="ListParagraph"/>
        <w:numPr>
          <w:ilvl w:val="0"/>
          <w:numId w:val="2"/>
        </w:numPr>
        <w:spacing w:after="70" w:line="300"/>
      </w:pPr>
      <w:r>
        <w:rPr>
          <w:rFonts w:ascii="맑은 고딕" w:cs="맑은 고딕" w:eastAsia="맑은 고딕" w:hAnsi="맑은 고딕"/>
          <w:sz w:val="20"/>
          <w:szCs w:val="20"/>
        </w:rPr>
        <w:t xml:space="preserve">Dean, D. L., Hender, J. M., Rodgers, T. L., &amp; Santanen, E. L. (2006). Identifying quality, novel, and creative ideas. </w:t>
      </w:r>
      <w:r>
        <w:rPr>
          <w:rFonts w:ascii="맑은 고딕" w:cs="맑은 고딕" w:eastAsia="맑은 고딕" w:hAnsi="맑은 고딕"/>
          <w:i/>
          <w:iCs/>
          <w:sz w:val="20"/>
          <w:szCs w:val="20"/>
        </w:rPr>
        <w:t xml:space="preserve">Journal of the Association for Information Systems, 7</w:t>
      </w:r>
      <w:r>
        <w:rPr>
          <w:rFonts w:ascii="맑은 고딕" w:cs="맑은 고딕" w:eastAsia="맑은 고딕" w:hAnsi="맑은 고딕"/>
          <w:sz w:val="20"/>
          <w:szCs w:val="20"/>
        </w:rPr>
        <w:t xml:space="preserve">(10), 646–698.</w:t>
      </w:r>
    </w:p>
    <w:p>
      <w:pPr>
        <w:pStyle w:val="ListParagraph"/>
        <w:numPr>
          <w:ilvl w:val="0"/>
          <w:numId w:val="2"/>
        </w:numPr>
        <w:spacing w:after="70" w:line="300"/>
      </w:pPr>
      <w:r>
        <w:rPr>
          <w:rFonts w:ascii="맑은 고딕" w:cs="맑은 고딕" w:eastAsia="맑은 고딕" w:hAnsi="맑은 고딕"/>
          <w:sz w:val="20"/>
          <w:szCs w:val="20"/>
        </w:rPr>
        <w:t xml:space="preserve">Fishkin, J. S. (2009). </w:t>
      </w:r>
      <w:r>
        <w:rPr>
          <w:rFonts w:ascii="맑은 고딕" w:cs="맑은 고딕" w:eastAsia="맑은 고딕" w:hAnsi="맑은 고딕"/>
          <w:i/>
          <w:iCs/>
          <w:sz w:val="20"/>
          <w:szCs w:val="20"/>
        </w:rPr>
        <w:t xml:space="preserve">When the People Speak: Deliberative Democracy and Public Consultation.</w:t>
      </w:r>
      <w:r>
        <w:rPr>
          <w:rFonts w:ascii="맑은 고딕" w:cs="맑은 고딕" w:eastAsia="맑은 고딕" w:hAnsi="맑은 고딕"/>
          <w:sz w:val="20"/>
          <w:szCs w:val="20"/>
        </w:rPr>
        <w:t xml:space="preserve"> Oxford University Press.</w:t>
      </w:r>
    </w:p>
    <w:p>
      <w:pPr>
        <w:pStyle w:val="ListParagraph"/>
        <w:numPr>
          <w:ilvl w:val="0"/>
          <w:numId w:val="2"/>
        </w:numPr>
        <w:spacing w:after="70" w:line="300"/>
      </w:pPr>
      <w:r>
        <w:rPr>
          <w:rFonts w:ascii="맑은 고딕" w:cs="맑은 고딕" w:eastAsia="맑은 고딕" w:hAnsi="맑은 고딕"/>
          <w:sz w:val="20"/>
          <w:szCs w:val="20"/>
        </w:rPr>
        <w:t xml:space="preserve">Kahneman, D. (2011). </w:t>
      </w:r>
      <w:r>
        <w:rPr>
          <w:rFonts w:ascii="맑은 고딕" w:cs="맑은 고딕" w:eastAsia="맑은 고딕" w:hAnsi="맑은 고딕"/>
          <w:i/>
          <w:iCs/>
          <w:sz w:val="20"/>
          <w:szCs w:val="20"/>
        </w:rPr>
        <w:t xml:space="preserve">Thinking, Fast and Slow.</w:t>
      </w:r>
      <w:r>
        <w:rPr>
          <w:rFonts w:ascii="맑은 고딕" w:cs="맑은 고딕" w:eastAsia="맑은 고딕" w:hAnsi="맑은 고딕"/>
          <w:sz w:val="20"/>
          <w:szCs w:val="20"/>
        </w:rPr>
        <w:t xml:space="preserve"> Farrar, Straus and Giroux.</w:t>
      </w:r>
    </w:p>
    <w:p>
      <w:pPr>
        <w:pStyle w:val="ListParagraph"/>
        <w:numPr>
          <w:ilvl w:val="0"/>
          <w:numId w:val="2"/>
        </w:numPr>
        <w:spacing w:after="70" w:line="300"/>
      </w:pPr>
      <w:r>
        <w:rPr>
          <w:rFonts w:ascii="맑은 고딕" w:cs="맑은 고딕" w:eastAsia="맑은 고딕" w:hAnsi="맑은 고딕"/>
          <w:sz w:val="20"/>
          <w:szCs w:val="20"/>
        </w:rPr>
        <w:t xml:space="preserve">Meehl, P. E. (1954). </w:t>
      </w:r>
      <w:r>
        <w:rPr>
          <w:rFonts w:ascii="맑은 고딕" w:cs="맑은 고딕" w:eastAsia="맑은 고딕" w:hAnsi="맑은 고딕"/>
          <w:i/>
          <w:iCs/>
          <w:sz w:val="20"/>
          <w:szCs w:val="20"/>
        </w:rPr>
        <w:t xml:space="preserve">Clinical versus Statistical Prediction.</w:t>
      </w:r>
      <w:r>
        <w:rPr>
          <w:rFonts w:ascii="맑은 고딕" w:cs="맑은 고딕" w:eastAsia="맑은 고딕" w:hAnsi="맑은 고딕"/>
          <w:sz w:val="20"/>
          <w:szCs w:val="20"/>
        </w:rPr>
        <w:t xml:space="preserve"> University of Minnesota Press.</w:t>
      </w:r>
    </w:p>
    <w:p>
      <w:pPr>
        <w:pStyle w:val="ListParagraph"/>
        <w:numPr>
          <w:ilvl w:val="0"/>
          <w:numId w:val="2"/>
        </w:numPr>
        <w:spacing w:after="70" w:line="300"/>
      </w:pPr>
      <w:r>
        <w:rPr>
          <w:rFonts w:ascii="맑은 고딕" w:cs="맑은 고딕" w:eastAsia="맑은 고딕" w:hAnsi="맑은 고딕"/>
          <w:sz w:val="20"/>
          <w:szCs w:val="20"/>
        </w:rPr>
        <w:t xml:space="preserve">Perez, E., et al. (2022). Discovering language model behaviors with model-written evaluations. </w:t>
      </w:r>
      <w:r>
        <w:rPr>
          <w:rFonts w:ascii="맑은 고딕" w:cs="맑은 고딕" w:eastAsia="맑은 고딕" w:hAnsi="맑은 고딕"/>
          <w:i/>
          <w:iCs/>
          <w:sz w:val="20"/>
          <w:szCs w:val="20"/>
        </w:rPr>
        <w:t xml:space="preserve">arXiv:2212.09251.</w:t>
      </w:r>
    </w:p>
    <w:p>
      <w:pPr>
        <w:pStyle w:val="ListParagraph"/>
        <w:numPr>
          <w:ilvl w:val="0"/>
          <w:numId w:val="2"/>
        </w:numPr>
        <w:spacing w:after="70" w:line="300"/>
      </w:pPr>
      <w:r>
        <w:rPr>
          <w:rFonts w:ascii="맑은 고딕" w:cs="맑은 고딕" w:eastAsia="맑은 고딕" w:hAnsi="맑은 고딕"/>
          <w:sz w:val="20"/>
          <w:szCs w:val="20"/>
        </w:rPr>
        <w:t xml:space="preserve">Popper, K. R. (1959). </w:t>
      </w:r>
      <w:r>
        <w:rPr>
          <w:rFonts w:ascii="맑은 고딕" w:cs="맑은 고딕" w:eastAsia="맑은 고딕" w:hAnsi="맑은 고딕"/>
          <w:i/>
          <w:iCs/>
          <w:sz w:val="20"/>
          <w:szCs w:val="20"/>
        </w:rPr>
        <w:t xml:space="preserve">The Logic of Scientific Discovery.</w:t>
      </w:r>
      <w:r>
        <w:rPr>
          <w:rFonts w:ascii="맑은 고딕" w:cs="맑은 고딕" w:eastAsia="맑은 고딕" w:hAnsi="맑은 고딕"/>
          <w:sz w:val="20"/>
          <w:szCs w:val="20"/>
        </w:rPr>
        <w:t xml:space="preserve"> Hutchinson.</w:t>
      </w:r>
    </w:p>
    <w:p>
      <w:pPr>
        <w:pStyle w:val="ListParagraph"/>
        <w:numPr>
          <w:ilvl w:val="0"/>
          <w:numId w:val="2"/>
        </w:numPr>
        <w:spacing w:after="70" w:line="300"/>
      </w:pPr>
      <w:r>
        <w:rPr>
          <w:rFonts w:ascii="맑은 고딕" w:cs="맑은 고딕" w:eastAsia="맑은 고딕" w:hAnsi="맑은 고딕"/>
          <w:sz w:val="20"/>
          <w:szCs w:val="20"/>
        </w:rPr>
        <w:t xml:space="preserve">Ries, E. (2011). </w:t>
      </w:r>
      <w:r>
        <w:rPr>
          <w:rFonts w:ascii="맑은 고딕" w:cs="맑은 고딕" w:eastAsia="맑은 고딕" w:hAnsi="맑은 고딕"/>
          <w:i/>
          <w:iCs/>
          <w:sz w:val="20"/>
          <w:szCs w:val="20"/>
        </w:rPr>
        <w:t xml:space="preserve">The Lean Startup.</w:t>
      </w:r>
      <w:r>
        <w:rPr>
          <w:rFonts w:ascii="맑은 고딕" w:cs="맑은 고딕" w:eastAsia="맑은 고딕" w:hAnsi="맑은 고딕"/>
          <w:sz w:val="20"/>
          <w:szCs w:val="20"/>
        </w:rPr>
        <w:t xml:space="preserve"> Crown Business.</w:t>
      </w:r>
    </w:p>
    <w:p>
      <w:pPr>
        <w:pStyle w:val="ListParagraph"/>
        <w:numPr>
          <w:ilvl w:val="0"/>
          <w:numId w:val="2"/>
        </w:numPr>
        <w:spacing w:after="70" w:line="300"/>
      </w:pPr>
      <w:r>
        <w:rPr>
          <w:rFonts w:ascii="맑은 고딕" w:cs="맑은 고딕" w:eastAsia="맑은 고딕" w:hAnsi="맑은 고딕"/>
          <w:sz w:val="20"/>
          <w:szCs w:val="20"/>
        </w:rPr>
        <w:t xml:space="preserve">Rogers, E. M. (2003). </w:t>
      </w:r>
      <w:r>
        <w:rPr>
          <w:rFonts w:ascii="맑은 고딕" w:cs="맑은 고딕" w:eastAsia="맑은 고딕" w:hAnsi="맑은 고딕"/>
          <w:i/>
          <w:iCs/>
          <w:sz w:val="20"/>
          <w:szCs w:val="20"/>
        </w:rPr>
        <w:t xml:space="preserve">Diffusion of Innovations</w:t>
      </w:r>
      <w:r>
        <w:rPr>
          <w:rFonts w:ascii="맑은 고딕" w:cs="맑은 고딕" w:eastAsia="맑은 고딕" w:hAnsi="맑은 고딕"/>
          <w:sz w:val="20"/>
          <w:szCs w:val="20"/>
        </w:rPr>
        <w:t xml:space="preserve"> (5th ed.). Free Press.</w:t>
      </w:r>
    </w:p>
    <w:p>
      <w:pPr>
        <w:pStyle w:val="ListParagraph"/>
        <w:numPr>
          <w:ilvl w:val="0"/>
          <w:numId w:val="2"/>
        </w:numPr>
        <w:spacing w:after="70" w:line="300"/>
      </w:pPr>
      <w:r>
        <w:rPr>
          <w:rFonts w:ascii="맑은 고딕" w:cs="맑은 고딕" w:eastAsia="맑은 고딕" w:hAnsi="맑은 고딕"/>
          <w:sz w:val="20"/>
          <w:szCs w:val="20"/>
        </w:rPr>
        <w:t xml:space="preserve">Runco, M. A., &amp; Jaeger, G. J. (2012). The standard definition of creativity. </w:t>
      </w:r>
      <w:r>
        <w:rPr>
          <w:rFonts w:ascii="맑은 고딕" w:cs="맑은 고딕" w:eastAsia="맑은 고딕" w:hAnsi="맑은 고딕"/>
          <w:i/>
          <w:iCs/>
          <w:sz w:val="20"/>
          <w:szCs w:val="20"/>
        </w:rPr>
        <w:t xml:space="preserve">Creativity Research Journal, 24</w:t>
      </w:r>
      <w:r>
        <w:rPr>
          <w:rFonts w:ascii="맑은 고딕" w:cs="맑은 고딕" w:eastAsia="맑은 고딕" w:hAnsi="맑은 고딕"/>
          <w:sz w:val="20"/>
          <w:szCs w:val="20"/>
        </w:rPr>
        <w:t xml:space="preserve">(1), 92–96.</w:t>
      </w:r>
    </w:p>
    <w:p>
      <w:pPr>
        <w:pStyle w:val="ListParagraph"/>
        <w:numPr>
          <w:ilvl w:val="0"/>
          <w:numId w:val="2"/>
        </w:numPr>
        <w:spacing w:after="70" w:line="300"/>
      </w:pPr>
      <w:r>
        <w:rPr>
          <w:rFonts w:ascii="맑은 고딕" w:cs="맑은 고딕" w:eastAsia="맑은 고딕" w:hAnsi="맑은 고딕"/>
          <w:sz w:val="20"/>
          <w:szCs w:val="20"/>
        </w:rPr>
        <w:t xml:space="preserve">Sadler, D. R. (1989). Formative assessment and the design of instructional systems. </w:t>
      </w:r>
      <w:r>
        <w:rPr>
          <w:rFonts w:ascii="맑은 고딕" w:cs="맑은 고딕" w:eastAsia="맑은 고딕" w:hAnsi="맑은 고딕"/>
          <w:i/>
          <w:iCs/>
          <w:sz w:val="20"/>
          <w:szCs w:val="20"/>
        </w:rPr>
        <w:t xml:space="preserve">Instructional Science, 18</w:t>
      </w:r>
      <w:r>
        <w:rPr>
          <w:rFonts w:ascii="맑은 고딕" w:cs="맑은 고딕" w:eastAsia="맑은 고딕" w:hAnsi="맑은 고딕"/>
          <w:sz w:val="20"/>
          <w:szCs w:val="20"/>
        </w:rPr>
        <w:t xml:space="preserve">(2), 119–144.</w:t>
      </w:r>
    </w:p>
    <w:p>
      <w:pPr>
        <w:pStyle w:val="ListParagraph"/>
        <w:numPr>
          <w:ilvl w:val="0"/>
          <w:numId w:val="2"/>
        </w:numPr>
        <w:spacing w:after="70" w:line="300"/>
      </w:pPr>
      <w:r>
        <w:rPr>
          <w:rFonts w:ascii="맑은 고딕" w:cs="맑은 고딕" w:eastAsia="맑은 고딕" w:hAnsi="맑은 고딕"/>
          <w:sz w:val="20"/>
          <w:szCs w:val="20"/>
        </w:rPr>
        <w:t xml:space="preserve">Sharma, M., et al. (2023). Towards understanding sycophancy in language models. </w:t>
      </w:r>
      <w:r>
        <w:rPr>
          <w:rFonts w:ascii="맑은 고딕" w:cs="맑은 고딕" w:eastAsia="맑은 고딕" w:hAnsi="맑은 고딕"/>
          <w:i/>
          <w:iCs/>
          <w:sz w:val="20"/>
          <w:szCs w:val="20"/>
        </w:rPr>
        <w:t xml:space="preserve">arXiv:2310.13548.</w:t>
      </w:r>
    </w:p>
    <w:p>
      <w:pPr>
        <w:pStyle w:val="ListParagraph"/>
        <w:numPr>
          <w:ilvl w:val="0"/>
          <w:numId w:val="2"/>
        </w:numPr>
        <w:spacing w:after="70" w:line="300"/>
      </w:pPr>
      <w:r>
        <w:rPr>
          <w:rFonts w:ascii="맑은 고딕" w:cs="맑은 고딕" w:eastAsia="맑은 고딕" w:hAnsi="맑은 고딕"/>
          <w:sz w:val="20"/>
          <w:szCs w:val="20"/>
        </w:rPr>
        <w:t xml:space="preserve">Vlastos, G. (1991). </w:t>
      </w:r>
      <w:r>
        <w:rPr>
          <w:rFonts w:ascii="맑은 고딕" w:cs="맑은 고딕" w:eastAsia="맑은 고딕" w:hAnsi="맑은 고딕"/>
          <w:i/>
          <w:iCs/>
          <w:sz w:val="20"/>
          <w:szCs w:val="20"/>
        </w:rPr>
        <w:t xml:space="preserve">Socrates: Ironist and Moral Philosopher.</w:t>
      </w:r>
      <w:r>
        <w:rPr>
          <w:rFonts w:ascii="맑은 고딕" w:cs="맑은 고딕" w:eastAsia="맑은 고딕" w:hAnsi="맑은 고딕"/>
          <w:sz w:val="20"/>
          <w:szCs w:val="20"/>
        </w:rPr>
        <w:t xml:space="preserve"> Cornell University Press.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pPr>
      <w:r>
        <w:rPr>
          <w:rStyle w:val="FootnoteReference"/>
        </w:rPr>
        <w:footnoteRef/>
      </w:r>
      <w:r>
        <w:rPr>
          <w:rFonts w:ascii="맑은 고딕" w:cs="맑은 고딕" w:eastAsia="맑은 고딕" w:hAnsi="맑은 고딕"/>
          <w:sz w:val="20"/>
          <w:szCs w:val="20"/>
        </w:rPr>
        <w:t xml:space="preserve">이 경향(sycophancy)은 도덕적 결함이 아니라 인간 선호 학습의 부산물로 이해되어야 한다. 그러나 원인이 무엇이든, 평가자로서의 부적합성은 달라지지 않는다. Perez et al.(2022); Sharma et al.(2023).</w:t>
      </w:r>
    </w:p>
  </w:footnote>
  <w:footnote w:id="2">
    <w:p>
      <w:pPr>
        <w:spacing w:line="240"/>
      </w:pPr>
      <w:r>
        <w:rPr>
          <w:rStyle w:val="FootnoteReference"/>
        </w:rPr>
        <w:footnoteRef/>
      </w:r>
      <w:r>
        <w:rPr>
          <w:rFonts w:ascii="맑은 고딕" w:cs="맑은 고딕" w:eastAsia="맑은 고딕" w:hAnsi="맑은 고딕"/>
          <w:sz w:val="20"/>
          <w:szCs w:val="20"/>
        </w:rPr>
        <w:t xml:space="preserve">본 방법의 규정 심사위원을 순수한 계리적(actuarial) 예측과 동일시해서는 안 된다. 그것은 통계 모형이 아니라 규칙 기반 판정이며, 종합 심사위원과의 평균을 통해 오히려 순수 규칙주의로부터 이탈한다. 미일의 논점을 차용하되 그 극단은 취하지 않는다.</w:t>
      </w:r>
    </w:p>
  </w:footnote>
  <w:footnote w:id="3">
    <w:p>
      <w:pPr>
        <w:spacing w:line="240"/>
      </w:pPr>
      <w:r>
        <w:rPr>
          <w:rStyle w:val="FootnoteReference"/>
        </w:rPr>
        <w:footnoteRef/>
      </w:r>
      <w:r>
        <w:rPr>
          <w:rFonts w:ascii="맑은 고딕" w:cs="맑은 고딕" w:eastAsia="맑은 고딕" w:hAnsi="맑은 고딕"/>
          <w:sz w:val="20"/>
          <w:szCs w:val="20"/>
        </w:rPr>
        <w:t xml:space="preserve">포퍼 자신이 점진적 사회공학(piecemeal social engineering)을 옹호하며 정책을 반증 가능한 가설로 다룰 것을 제안했다는 점은 여기서 우연이 아니다. 정책을 ‘시행하고 관측하고 필요하면 철회하는’ 실험으로 보는 태도가 판단 갱신 항목의 배경에 있다.</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2026-07-23T02:08:31.280Z</dcterms:created>
  <dcterms:modified xsi:type="dcterms:W3CDTF">2026-07-23T02:08:31.282Z</dcterms:modified>
</cp:coreProperties>
</file>

<file path=docProps/custom.xml><?xml version="1.0" encoding="utf-8"?>
<Properties xmlns="http://schemas.openxmlformats.org/officeDocument/2006/custom-properties" xmlns:vt="http://schemas.openxmlformats.org/officeDocument/2006/docPropsVTypes"/>
</file>